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3BC4F" w14:textId="3534EA87" w:rsidR="00AE6213" w:rsidRPr="00E37EAC" w:rsidRDefault="00AC618C" w:rsidP="00AE6213">
      <w:pPr>
        <w:pStyle w:val="3GPPHeader"/>
        <w:spacing w:after="60"/>
        <w:rPr>
          <w:sz w:val="22"/>
          <w:szCs w:val="26"/>
        </w:rPr>
      </w:pPr>
      <w:r w:rsidRPr="00DF6EC3">
        <w:rPr>
          <w:noProof/>
        </w:rPr>
        <w:t>3GPP TSG-RAN WG2 AH 1807</w:t>
      </w:r>
      <w:r w:rsidR="00967F8A" w:rsidRPr="00E37EAC">
        <w:rPr>
          <w:sz w:val="22"/>
          <w:szCs w:val="26"/>
        </w:rPr>
        <w:tab/>
      </w:r>
      <w:r w:rsidR="00BC2B4A" w:rsidRPr="00A74DE2">
        <w:rPr>
          <w:sz w:val="32"/>
          <w:szCs w:val="26"/>
        </w:rPr>
        <w:t>R2-</w:t>
      </w:r>
      <w:r w:rsidR="00B61B86" w:rsidRPr="00A74DE2">
        <w:rPr>
          <w:sz w:val="32"/>
          <w:szCs w:val="26"/>
        </w:rPr>
        <w:t>180</w:t>
      </w:r>
      <w:r w:rsidR="001F5EFE" w:rsidRPr="00A74DE2">
        <w:rPr>
          <w:sz w:val="32"/>
          <w:szCs w:val="26"/>
        </w:rPr>
        <w:t>9684</w:t>
      </w:r>
    </w:p>
    <w:p w14:paraId="3401E9E8" w14:textId="5E3B30A2" w:rsidR="00452041" w:rsidRPr="00E37EAC" w:rsidRDefault="00251C58" w:rsidP="00C145D3">
      <w:pPr>
        <w:pStyle w:val="3GPPHeader"/>
        <w:spacing w:after="60"/>
        <w:rPr>
          <w:noProof/>
          <w:sz w:val="22"/>
          <w:szCs w:val="26"/>
        </w:rPr>
      </w:pPr>
      <w:r w:rsidRPr="00264518">
        <w:rPr>
          <w:noProof/>
        </w:rPr>
        <w:t>Montreal, Canada, 2</w:t>
      </w:r>
      <w:r w:rsidRPr="00264518">
        <w:rPr>
          <w:noProof/>
          <w:vertAlign w:val="superscript"/>
        </w:rPr>
        <w:t>nd</w:t>
      </w:r>
      <w:r w:rsidRPr="00264518">
        <w:rPr>
          <w:noProof/>
        </w:rPr>
        <w:t xml:space="preserve"> – 6</w:t>
      </w:r>
      <w:r w:rsidRPr="00264518">
        <w:rPr>
          <w:noProof/>
          <w:vertAlign w:val="superscript"/>
        </w:rPr>
        <w:t>th</w:t>
      </w:r>
      <w:r w:rsidRPr="00264518">
        <w:rPr>
          <w:noProof/>
        </w:rPr>
        <w:t xml:space="preserve"> July 201</w:t>
      </w:r>
      <w:r w:rsidRPr="00792BBD">
        <w:rPr>
          <w:noProof/>
        </w:rPr>
        <w:t>8</w:t>
      </w:r>
    </w:p>
    <w:p w14:paraId="54382A06" w14:textId="77777777" w:rsidR="00C145D3" w:rsidRPr="00E37EAC" w:rsidRDefault="00C145D3" w:rsidP="00C145D3">
      <w:pPr>
        <w:pStyle w:val="3GPPHeader"/>
        <w:spacing w:after="60"/>
        <w:rPr>
          <w:sz w:val="22"/>
          <w:szCs w:val="26"/>
          <w:highlight w:val="yellow"/>
          <w:lang w:val="en-US"/>
        </w:rPr>
      </w:pPr>
    </w:p>
    <w:p w14:paraId="55EA3377" w14:textId="7BE4AA18" w:rsidR="00A176D6" w:rsidRPr="00E37EAC" w:rsidRDefault="00A176D6" w:rsidP="00A176D6">
      <w:pPr>
        <w:pStyle w:val="3GPPHeader"/>
        <w:rPr>
          <w:sz w:val="22"/>
          <w:szCs w:val="26"/>
          <w:lang w:val="sv-SE"/>
        </w:rPr>
      </w:pPr>
      <w:r w:rsidRPr="00E37EAC">
        <w:rPr>
          <w:sz w:val="22"/>
          <w:szCs w:val="26"/>
          <w:lang w:val="sv-SE"/>
        </w:rPr>
        <w:t>Agenda Item:</w:t>
      </w:r>
      <w:r w:rsidRPr="00E37EAC">
        <w:rPr>
          <w:sz w:val="22"/>
          <w:szCs w:val="26"/>
          <w:lang w:val="sv-SE"/>
        </w:rPr>
        <w:tab/>
      </w:r>
      <w:r w:rsidR="00886653" w:rsidRPr="00E16679">
        <w:rPr>
          <w:sz w:val="22"/>
          <w:szCs w:val="22"/>
          <w:lang w:val="en-US"/>
        </w:rPr>
        <w:t>10.4.1.4.5 ANR</w:t>
      </w:r>
    </w:p>
    <w:p w14:paraId="14C547E8" w14:textId="77777777" w:rsidR="00A176D6" w:rsidRPr="00E37EAC" w:rsidRDefault="00A176D6" w:rsidP="00A176D6">
      <w:pPr>
        <w:pStyle w:val="3GPPHeader"/>
        <w:rPr>
          <w:sz w:val="22"/>
          <w:szCs w:val="26"/>
        </w:rPr>
      </w:pPr>
      <w:r w:rsidRPr="00E37EAC">
        <w:rPr>
          <w:sz w:val="22"/>
          <w:szCs w:val="26"/>
        </w:rPr>
        <w:t>Source:</w:t>
      </w:r>
      <w:r w:rsidRPr="00E37EAC">
        <w:rPr>
          <w:sz w:val="22"/>
          <w:szCs w:val="26"/>
        </w:rPr>
        <w:tab/>
        <w:t>Ericsson</w:t>
      </w:r>
    </w:p>
    <w:p w14:paraId="6F64436E" w14:textId="3C70F6DA" w:rsidR="00A176D6" w:rsidRPr="00E37EAC" w:rsidRDefault="00A176D6" w:rsidP="00A176D6">
      <w:pPr>
        <w:pStyle w:val="3GPPHeader"/>
        <w:rPr>
          <w:sz w:val="22"/>
          <w:szCs w:val="26"/>
        </w:rPr>
      </w:pPr>
      <w:r w:rsidRPr="00E37EAC">
        <w:rPr>
          <w:sz w:val="22"/>
          <w:szCs w:val="26"/>
        </w:rPr>
        <w:t>Title:</w:t>
      </w:r>
      <w:r w:rsidRPr="00E37EAC">
        <w:rPr>
          <w:sz w:val="22"/>
          <w:szCs w:val="26"/>
        </w:rPr>
        <w:tab/>
      </w:r>
      <w:r w:rsidR="004E1E19">
        <w:rPr>
          <w:sz w:val="22"/>
          <w:szCs w:val="26"/>
        </w:rPr>
        <w:t>5GC/EPC LTE cell i</w:t>
      </w:r>
      <w:r w:rsidR="0086615C">
        <w:rPr>
          <w:sz w:val="22"/>
          <w:szCs w:val="26"/>
        </w:rPr>
        <w:t xml:space="preserve">ndication </w:t>
      </w:r>
      <w:r w:rsidR="00262C38" w:rsidRPr="00262C38">
        <w:rPr>
          <w:sz w:val="22"/>
          <w:szCs w:val="26"/>
        </w:rPr>
        <w:t>in CGI reporting</w:t>
      </w:r>
    </w:p>
    <w:p w14:paraId="747BBCFB" w14:textId="77777777" w:rsidR="00A176D6" w:rsidRPr="00E37EAC" w:rsidRDefault="00A176D6" w:rsidP="00A176D6">
      <w:pPr>
        <w:pStyle w:val="3GPPHeader"/>
        <w:rPr>
          <w:sz w:val="22"/>
          <w:szCs w:val="26"/>
        </w:rPr>
      </w:pPr>
      <w:r w:rsidRPr="00E37EAC">
        <w:rPr>
          <w:sz w:val="22"/>
          <w:szCs w:val="26"/>
        </w:rPr>
        <w:t>Document for:</w:t>
      </w:r>
      <w:r w:rsidRPr="00E37EAC">
        <w:rPr>
          <w:sz w:val="22"/>
          <w:szCs w:val="26"/>
        </w:rPr>
        <w:tab/>
        <w:t>Discussion, Decision</w:t>
      </w:r>
    </w:p>
    <w:p w14:paraId="78830BFB" w14:textId="77777777" w:rsidR="00E90E49" w:rsidRPr="00A34E03" w:rsidRDefault="00E90E49" w:rsidP="00CE0424">
      <w:pPr>
        <w:pStyle w:val="Heading1"/>
      </w:pPr>
      <w:r w:rsidRPr="00A34E03">
        <w:t>Introduction</w:t>
      </w:r>
    </w:p>
    <w:p w14:paraId="11E09EFA" w14:textId="0B9BA26F" w:rsidR="00D06119" w:rsidRPr="00A34E03" w:rsidRDefault="00D06119" w:rsidP="0055719E">
      <w:pPr>
        <w:pStyle w:val="BodyText"/>
      </w:pPr>
      <w:r w:rsidRPr="00A34E03">
        <w:t>In RAN2#102</w:t>
      </w:r>
      <w:r w:rsidR="00083714" w:rsidRPr="00A34E03">
        <w:t xml:space="preserve"> in Busan</w:t>
      </w:r>
      <w:r w:rsidRPr="00A34E03">
        <w:t>, it was agreed that</w:t>
      </w:r>
    </w:p>
    <w:p w14:paraId="436BAD10"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rPr>
        <w:t>Agreements for ANR (</w:t>
      </w:r>
      <w:proofErr w:type="spellStart"/>
      <w:r w:rsidRPr="00A34E03">
        <w:rPr>
          <w:szCs w:val="20"/>
        </w:rPr>
        <w:t>reportCGI</w:t>
      </w:r>
      <w:proofErr w:type="spellEnd"/>
      <w:r w:rsidRPr="00A34E03">
        <w:rPr>
          <w:szCs w:val="20"/>
        </w:rPr>
        <w:t xml:space="preserve"> functionality in RRC)</w:t>
      </w:r>
    </w:p>
    <w:p w14:paraId="14DB21CC"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rPr>
        <w:t>1: For ANR, includin</w:t>
      </w:r>
      <w:bookmarkStart w:id="0" w:name="_GoBack"/>
      <w:bookmarkEnd w:id="0"/>
      <w:r w:rsidRPr="00A34E03">
        <w:rPr>
          <w:szCs w:val="20"/>
        </w:rPr>
        <w:t>g Intra and Inter RAT cases, the following ANR configuration are supported:</w:t>
      </w:r>
    </w:p>
    <w:p w14:paraId="35AC4090"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rPr>
        <w:t>-</w:t>
      </w:r>
      <w:r w:rsidRPr="00A34E03">
        <w:rPr>
          <w:szCs w:val="20"/>
        </w:rPr>
        <w:tab/>
        <w:t>Inter-RAT ANR towards NR configured by eNB</w:t>
      </w:r>
    </w:p>
    <w:p w14:paraId="2C35A9A8"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rPr>
        <w:t>-</w:t>
      </w:r>
      <w:r w:rsidRPr="00A34E03">
        <w:rPr>
          <w:szCs w:val="20"/>
        </w:rPr>
        <w:tab/>
        <w:t>Intra-RAT ANR towards NR configured by gNB</w:t>
      </w:r>
    </w:p>
    <w:p w14:paraId="21BA679A"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highlight w:val="yellow"/>
        </w:rPr>
        <w:t>-</w:t>
      </w:r>
      <w:r w:rsidRPr="00A34E03">
        <w:rPr>
          <w:szCs w:val="20"/>
          <w:highlight w:val="yellow"/>
        </w:rPr>
        <w:tab/>
        <w:t>Inter-RAT ANR towards LTE configured by gNB</w:t>
      </w:r>
    </w:p>
    <w:p w14:paraId="0725430F"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rPr>
        <w:t>2</w:t>
      </w:r>
      <w:r w:rsidRPr="00A34E03">
        <w:rPr>
          <w:szCs w:val="20"/>
        </w:rPr>
        <w:tab/>
        <w:t xml:space="preserve"> In case of EN-DC UE, ANR function towards NR cell can be configured by SN. </w:t>
      </w:r>
    </w:p>
    <w:p w14:paraId="3B8A4E32"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rPr>
        <w:t>2i</w:t>
      </w:r>
      <w:r w:rsidRPr="00A34E03">
        <w:rPr>
          <w:szCs w:val="20"/>
        </w:rPr>
        <w:tab/>
        <w:t xml:space="preserve">The UE can only be configured with a single </w:t>
      </w:r>
      <w:proofErr w:type="spellStart"/>
      <w:r w:rsidRPr="00A34E03">
        <w:rPr>
          <w:szCs w:val="20"/>
        </w:rPr>
        <w:t>reportCGI</w:t>
      </w:r>
      <w:proofErr w:type="spellEnd"/>
      <w:r w:rsidRPr="00A34E03">
        <w:rPr>
          <w:szCs w:val="20"/>
        </w:rPr>
        <w:t xml:space="preserve"> configuration, from either MN or SN.</w:t>
      </w:r>
    </w:p>
    <w:p w14:paraId="43E6B366"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rPr>
        <w:t>2ii</w:t>
      </w:r>
      <w:r w:rsidRPr="00A34E03">
        <w:rPr>
          <w:szCs w:val="20"/>
        </w:rPr>
        <w:tab/>
        <w:t>Configuration of ANR towards NR cell requires coordination between MN and SN</w:t>
      </w:r>
    </w:p>
    <w:p w14:paraId="047D24BA"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highlight w:val="yellow"/>
        </w:rPr>
      </w:pPr>
      <w:r w:rsidRPr="00A34E03">
        <w:rPr>
          <w:szCs w:val="20"/>
          <w:highlight w:val="yellow"/>
        </w:rPr>
        <w:t>3: For ANR reporting, the CGI content includes:</w:t>
      </w:r>
    </w:p>
    <w:p w14:paraId="4FF6B0C9"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highlight w:val="yellow"/>
        </w:rPr>
      </w:pPr>
      <w:r w:rsidRPr="00A34E03">
        <w:rPr>
          <w:szCs w:val="20"/>
          <w:highlight w:val="yellow"/>
        </w:rPr>
        <w:t>-</w:t>
      </w:r>
      <w:r w:rsidRPr="00A34E03">
        <w:rPr>
          <w:szCs w:val="20"/>
          <w:highlight w:val="yellow"/>
        </w:rPr>
        <w:tab/>
        <w:t>a: PLMN list, TAC, frequency band list and CGI as baseline</w:t>
      </w:r>
    </w:p>
    <w:p w14:paraId="45E8F838"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highlight w:val="yellow"/>
        </w:rPr>
        <w:t>-</w:t>
      </w:r>
      <w:r w:rsidRPr="00A34E03">
        <w:rPr>
          <w:szCs w:val="20"/>
          <w:highlight w:val="yellow"/>
        </w:rPr>
        <w:tab/>
        <w:t>b: RANAC is also reported, if included in SIB1</w:t>
      </w:r>
    </w:p>
    <w:p w14:paraId="15875716"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rPr>
        <w:t>4:</w:t>
      </w:r>
      <w:r w:rsidRPr="00A34E03">
        <w:rPr>
          <w:szCs w:val="20"/>
        </w:rPr>
        <w:tab/>
        <w:t>In the case SIB1/RMSI is not broadcast, UE should report a notification to network. UE report includes:</w:t>
      </w:r>
    </w:p>
    <w:p w14:paraId="04249933"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rPr>
        <w:t>-</w:t>
      </w:r>
      <w:r w:rsidRPr="00A34E03">
        <w:rPr>
          <w:szCs w:val="20"/>
        </w:rPr>
        <w:tab/>
        <w:t>a: “no SIB1 provided” indication</w:t>
      </w:r>
    </w:p>
    <w:p w14:paraId="0B15E178"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rPr>
        <w:t>FFS whether UE should also report where CD-SSB of the measured SSB can be found</w:t>
      </w:r>
    </w:p>
    <w:p w14:paraId="617764F3"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rPr>
        <w:t>5:</w:t>
      </w:r>
      <w:r w:rsidRPr="00A34E03">
        <w:rPr>
          <w:szCs w:val="20"/>
        </w:rPr>
        <w:tab/>
        <w:t>In the case SIB1/RMSI is not broadcast, UE should report UE should report “no SIB1 provided indication” without waiting for T321 timer expiry and stop timer</w:t>
      </w:r>
    </w:p>
    <w:p w14:paraId="3C68AC7F"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rPr>
        <w:t>6</w:t>
      </w:r>
      <w:r w:rsidRPr="00A34E03">
        <w:rPr>
          <w:szCs w:val="20"/>
        </w:rPr>
        <w:tab/>
        <w:t xml:space="preserve">In case of EN-DC, if </w:t>
      </w:r>
      <w:proofErr w:type="spellStart"/>
      <w:r w:rsidRPr="00A34E03">
        <w:rPr>
          <w:szCs w:val="20"/>
        </w:rPr>
        <w:t>reportCGI</w:t>
      </w:r>
      <w:proofErr w:type="spellEnd"/>
      <w:r w:rsidRPr="00A34E03">
        <w:rPr>
          <w:szCs w:val="20"/>
        </w:rPr>
        <w:t xml:space="preserve"> for NR cell is configured by eNB, then UE </w:t>
      </w:r>
      <w:proofErr w:type="spellStart"/>
      <w:r w:rsidRPr="00A34E03">
        <w:rPr>
          <w:szCs w:val="20"/>
        </w:rPr>
        <w:t>behavior</w:t>
      </w:r>
      <w:proofErr w:type="spellEnd"/>
      <w:r w:rsidRPr="00A34E03">
        <w:rPr>
          <w:szCs w:val="20"/>
        </w:rPr>
        <w:t xml:space="preserve"> follows inter-RAT ANR T321 value; if </w:t>
      </w:r>
      <w:proofErr w:type="spellStart"/>
      <w:r w:rsidRPr="00A34E03">
        <w:rPr>
          <w:szCs w:val="20"/>
        </w:rPr>
        <w:t>reportCGI</w:t>
      </w:r>
      <w:proofErr w:type="spellEnd"/>
      <w:r w:rsidRPr="00A34E03">
        <w:rPr>
          <w:szCs w:val="20"/>
        </w:rPr>
        <w:t xml:space="preserve"> for NR cell is configured by gNB, then UE </w:t>
      </w:r>
      <w:proofErr w:type="spellStart"/>
      <w:r w:rsidRPr="00A34E03">
        <w:rPr>
          <w:szCs w:val="20"/>
        </w:rPr>
        <w:t>behavior</w:t>
      </w:r>
      <w:proofErr w:type="spellEnd"/>
      <w:r w:rsidRPr="00A34E03">
        <w:rPr>
          <w:szCs w:val="20"/>
        </w:rPr>
        <w:t xml:space="preserve"> follows intra-RAT ANR T321 value. RAN2 sends </w:t>
      </w:r>
      <w:proofErr w:type="gramStart"/>
      <w:r w:rsidRPr="00A34E03">
        <w:rPr>
          <w:szCs w:val="20"/>
        </w:rPr>
        <w:t>an</w:t>
      </w:r>
      <w:proofErr w:type="gramEnd"/>
      <w:r w:rsidRPr="00A34E03">
        <w:rPr>
          <w:szCs w:val="20"/>
        </w:rPr>
        <w:t xml:space="preserve"> Ls to RAN4 to confirm RAN2 understanding</w:t>
      </w:r>
    </w:p>
    <w:p w14:paraId="16AE6566"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rPr>
        <w:t>7</w:t>
      </w:r>
      <w:r w:rsidRPr="00A34E03">
        <w:rPr>
          <w:szCs w:val="20"/>
        </w:rPr>
        <w:tab/>
        <w:t xml:space="preserve">RAN2 to send </w:t>
      </w:r>
      <w:proofErr w:type="gramStart"/>
      <w:r w:rsidRPr="00A34E03">
        <w:rPr>
          <w:szCs w:val="20"/>
        </w:rPr>
        <w:t>an</w:t>
      </w:r>
      <w:proofErr w:type="gramEnd"/>
      <w:r w:rsidRPr="00A34E03">
        <w:rPr>
          <w:szCs w:val="20"/>
        </w:rPr>
        <w:t xml:space="preserve"> Ls to RAN4 on guidance for T321 values in the following ANR measurement cases:</w:t>
      </w:r>
    </w:p>
    <w:p w14:paraId="3B74A4B1"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rPr>
        <w:t>-</w:t>
      </w:r>
      <w:r w:rsidRPr="00A34E03">
        <w:rPr>
          <w:szCs w:val="20"/>
        </w:rPr>
        <w:tab/>
        <w:t xml:space="preserve">UE served by LTE cell towards NR cell </w:t>
      </w:r>
    </w:p>
    <w:p w14:paraId="04DEDB58"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rPr>
        <w:t>-</w:t>
      </w:r>
      <w:r w:rsidRPr="00A34E03">
        <w:rPr>
          <w:szCs w:val="20"/>
        </w:rPr>
        <w:tab/>
        <w:t>UE served by NR cell towards NR cell</w:t>
      </w:r>
    </w:p>
    <w:p w14:paraId="7491658E"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rPr>
        <w:t>-</w:t>
      </w:r>
      <w:r w:rsidRPr="00A34E03">
        <w:rPr>
          <w:szCs w:val="20"/>
        </w:rPr>
        <w:tab/>
        <w:t>UE served by NR cell towards LTE cell</w:t>
      </w:r>
    </w:p>
    <w:p w14:paraId="08F1E755"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rPr>
        <w:t>8</w:t>
      </w:r>
      <w:r w:rsidRPr="00A34E03">
        <w:rPr>
          <w:szCs w:val="20"/>
        </w:rPr>
        <w:tab/>
        <w:t>For UE capability for ANR towards NR cell:</w:t>
      </w:r>
    </w:p>
    <w:p w14:paraId="43446D56"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rPr>
        <w:t>-</w:t>
      </w:r>
      <w:r w:rsidRPr="00A34E03">
        <w:rPr>
          <w:szCs w:val="20"/>
        </w:rPr>
        <w:tab/>
        <w:t>a: DRX based reading of ANR towards NR cell related measurement should be supported</w:t>
      </w:r>
    </w:p>
    <w:p w14:paraId="332364B1"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rPr>
        <w:t>9</w:t>
      </w:r>
      <w:r w:rsidRPr="00A34E03">
        <w:rPr>
          <w:szCs w:val="20"/>
        </w:rPr>
        <w:tab/>
        <w:t xml:space="preserve">RAN2 to send </w:t>
      </w:r>
      <w:proofErr w:type="gramStart"/>
      <w:r w:rsidRPr="00A34E03">
        <w:rPr>
          <w:szCs w:val="20"/>
        </w:rPr>
        <w:t>an</w:t>
      </w:r>
      <w:proofErr w:type="gramEnd"/>
      <w:r w:rsidRPr="00A34E03">
        <w:rPr>
          <w:szCs w:val="20"/>
        </w:rPr>
        <w:t xml:space="preserve"> Ls to RAN4 to ask whether it is feasible to use autonomous gap </w:t>
      </w:r>
    </w:p>
    <w:p w14:paraId="6FDABC14"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rPr>
        <w:t>10</w:t>
      </w:r>
      <w:r w:rsidRPr="00A34E03">
        <w:rPr>
          <w:szCs w:val="20"/>
        </w:rPr>
        <w:tab/>
        <w:t xml:space="preserve">For ANR CGI reporting, only one NR </w:t>
      </w:r>
      <w:proofErr w:type="spellStart"/>
      <w:r w:rsidRPr="00A34E03">
        <w:rPr>
          <w:szCs w:val="20"/>
        </w:rPr>
        <w:t>neighbor</w:t>
      </w:r>
      <w:proofErr w:type="spellEnd"/>
      <w:r w:rsidRPr="00A34E03">
        <w:rPr>
          <w:szCs w:val="20"/>
        </w:rPr>
        <w:t xml:space="preserve"> cell configuration is support at a time</w:t>
      </w:r>
    </w:p>
    <w:p w14:paraId="356E4D0B"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rPr>
        <w:t xml:space="preserve">11: </w:t>
      </w:r>
    </w:p>
    <w:p w14:paraId="638E698C"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rPr>
        <w:t>a.</w:t>
      </w:r>
      <w:r w:rsidRPr="00A34E03">
        <w:rPr>
          <w:szCs w:val="20"/>
        </w:rPr>
        <w:tab/>
        <w:t xml:space="preserve">Introduce a UE capability bit in NR for Intra-RAT ANR (including inter and Intra frequency) </w:t>
      </w:r>
    </w:p>
    <w:p w14:paraId="697415CB"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rPr>
        <w:t>b.</w:t>
      </w:r>
      <w:r w:rsidRPr="00A34E03">
        <w:rPr>
          <w:szCs w:val="20"/>
        </w:rPr>
        <w:tab/>
        <w:t xml:space="preserve">Introduce a UE capability bit in NR for Inter-RAT ANR towards LTE cell. </w:t>
      </w:r>
    </w:p>
    <w:p w14:paraId="25750934"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rPr>
        <w:t>c.</w:t>
      </w:r>
      <w:r w:rsidRPr="00A34E03">
        <w:rPr>
          <w:szCs w:val="20"/>
        </w:rPr>
        <w:tab/>
        <w:t>Introduce a UE capability bit in LTE for Inter-RAT ANR towards NR cell.</w:t>
      </w:r>
    </w:p>
    <w:p w14:paraId="15EEDE6B"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rPr>
        <w:t>FFS Whether 2 separate capability bits are needed for LTE with and without EN-DC configured.</w:t>
      </w:r>
    </w:p>
    <w:p w14:paraId="07D77023"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rPr>
        <w:t xml:space="preserve">12: For ANR support, RAN2 sees no need to differentiate between FR1 and FR2. RAN2 to send </w:t>
      </w:r>
      <w:proofErr w:type="gramStart"/>
      <w:r w:rsidRPr="00A34E03">
        <w:rPr>
          <w:szCs w:val="20"/>
        </w:rPr>
        <w:t>an</w:t>
      </w:r>
      <w:proofErr w:type="gramEnd"/>
      <w:r w:rsidRPr="00A34E03">
        <w:rPr>
          <w:szCs w:val="20"/>
        </w:rPr>
        <w:t xml:space="preserve"> Ls to RAN4 to ask for opinion</w:t>
      </w:r>
    </w:p>
    <w:p w14:paraId="6EF5AA35" w14:textId="77777777" w:rsidR="00083714" w:rsidRPr="00A34E03" w:rsidRDefault="00083714" w:rsidP="00083714">
      <w:pPr>
        <w:pStyle w:val="Doc-text2"/>
        <w:pBdr>
          <w:top w:val="single" w:sz="4" w:space="1" w:color="auto"/>
          <w:left w:val="single" w:sz="4" w:space="4" w:color="auto"/>
          <w:bottom w:val="single" w:sz="4" w:space="1" w:color="auto"/>
          <w:right w:val="single" w:sz="4" w:space="4" w:color="auto"/>
        </w:pBdr>
        <w:rPr>
          <w:szCs w:val="20"/>
        </w:rPr>
      </w:pPr>
      <w:r w:rsidRPr="00A34E03">
        <w:rPr>
          <w:szCs w:val="20"/>
        </w:rPr>
        <w:t xml:space="preserve">FFS where </w:t>
      </w:r>
      <w:proofErr w:type="spellStart"/>
      <w:r w:rsidRPr="00A34E03">
        <w:rPr>
          <w:szCs w:val="20"/>
        </w:rPr>
        <w:t>cellsForWhichToReportCGI</w:t>
      </w:r>
      <w:proofErr w:type="spellEnd"/>
      <w:r w:rsidRPr="00A34E03">
        <w:rPr>
          <w:szCs w:val="20"/>
        </w:rPr>
        <w:t xml:space="preserve"> is added (</w:t>
      </w:r>
      <w:proofErr w:type="spellStart"/>
      <w:r w:rsidRPr="00A34E03">
        <w:rPr>
          <w:szCs w:val="20"/>
        </w:rPr>
        <w:t>measID</w:t>
      </w:r>
      <w:proofErr w:type="spellEnd"/>
      <w:r w:rsidRPr="00A34E03">
        <w:rPr>
          <w:szCs w:val="20"/>
        </w:rPr>
        <w:t xml:space="preserve"> or reportConfig)</w:t>
      </w:r>
    </w:p>
    <w:p w14:paraId="67E33928" w14:textId="15E4032E" w:rsidR="00083714" w:rsidRPr="00A34E03" w:rsidRDefault="00083714" w:rsidP="0055719E">
      <w:pPr>
        <w:pStyle w:val="BodyText"/>
      </w:pPr>
    </w:p>
    <w:p w14:paraId="0773EF16" w14:textId="55283D98" w:rsidR="00A969C6" w:rsidRPr="00AF2601" w:rsidRDefault="00A969C6" w:rsidP="00A969C6">
      <w:pPr>
        <w:pStyle w:val="BodyText"/>
      </w:pPr>
      <w:r w:rsidRPr="00AF2601">
        <w:lastRenderedPageBreak/>
        <w:t xml:space="preserve">In this contribution, we discuss the CGI reporting of LTE cells configured by </w:t>
      </w:r>
      <w:r w:rsidR="0092174D" w:rsidRPr="00AF2601">
        <w:t xml:space="preserve">either </w:t>
      </w:r>
      <w:r w:rsidRPr="00AF2601">
        <w:t>gNB (inter-RAT CGI reporting)</w:t>
      </w:r>
      <w:r w:rsidR="0092174D" w:rsidRPr="00AF2601">
        <w:t xml:space="preserve"> or by </w:t>
      </w:r>
      <w:r w:rsidR="00A57130" w:rsidRPr="00AF2601">
        <w:t>LTE (intra-RAT CGI reporting)</w:t>
      </w:r>
      <w:r w:rsidRPr="00AF2601">
        <w:t xml:space="preserve"> and the need for a serving gNB</w:t>
      </w:r>
      <w:r w:rsidR="00A57130" w:rsidRPr="00AF2601">
        <w:t>/eNB</w:t>
      </w:r>
      <w:r w:rsidRPr="00AF2601">
        <w:t xml:space="preserve"> configuring CGI reporting to identify whether an LTE cell is connected to 5GC and/or EPC.</w:t>
      </w:r>
    </w:p>
    <w:p w14:paraId="4A570552" w14:textId="77777777" w:rsidR="00A969C6" w:rsidRPr="009F4FB7" w:rsidRDefault="00A969C6" w:rsidP="0055719E">
      <w:pPr>
        <w:pStyle w:val="BodyText"/>
        <w:rPr>
          <w:sz w:val="22"/>
          <w:szCs w:val="26"/>
        </w:rPr>
      </w:pPr>
    </w:p>
    <w:p w14:paraId="1281B722" w14:textId="16545B13" w:rsidR="006425C6" w:rsidRPr="00A34E03" w:rsidRDefault="004000E8" w:rsidP="006425C6">
      <w:pPr>
        <w:pStyle w:val="Heading1"/>
      </w:pPr>
      <w:bookmarkStart w:id="1" w:name="_Ref178064866"/>
      <w:r w:rsidRPr="00A34E03">
        <w:t>Discussion</w:t>
      </w:r>
      <w:bookmarkEnd w:id="1"/>
    </w:p>
    <w:p w14:paraId="0B4F8578" w14:textId="33DF9447" w:rsidR="005F43FA" w:rsidRPr="00A34E03" w:rsidRDefault="005F43FA" w:rsidP="005F43FA">
      <w:pPr>
        <w:pStyle w:val="BodyText"/>
        <w:rPr>
          <w:szCs w:val="26"/>
        </w:rPr>
      </w:pPr>
      <w:r w:rsidRPr="00A34E03">
        <w:rPr>
          <w:rStyle w:val="IvDbodytextChar"/>
          <w:szCs w:val="26"/>
        </w:rPr>
        <w:t xml:space="preserve">There are different ways to deploy 5G network with or without interworking with LTE and evolved packet code (EPC), as depicted in </w:t>
      </w:r>
      <w:r w:rsidRPr="00A34E03">
        <w:rPr>
          <w:szCs w:val="26"/>
        </w:rPr>
        <w:fldChar w:fldCharType="begin"/>
      </w:r>
      <w:r w:rsidRPr="00A34E03">
        <w:rPr>
          <w:rStyle w:val="IvDbodytextChar"/>
          <w:szCs w:val="26"/>
        </w:rPr>
        <w:instrText xml:space="preserve"> REF _Ref503265979 \h </w:instrText>
      </w:r>
      <w:r w:rsidR="00C543E6" w:rsidRPr="00A34E03">
        <w:rPr>
          <w:szCs w:val="26"/>
        </w:rPr>
        <w:instrText xml:space="preserve"> \* MERGEFORMAT </w:instrText>
      </w:r>
      <w:r w:rsidRPr="00A34E03">
        <w:rPr>
          <w:szCs w:val="26"/>
        </w:rPr>
      </w:r>
      <w:r w:rsidRPr="00A34E03">
        <w:rPr>
          <w:szCs w:val="26"/>
        </w:rPr>
        <w:fldChar w:fldCharType="separate"/>
      </w:r>
      <w:r w:rsidR="001B6ADC" w:rsidRPr="00A34E03">
        <w:rPr>
          <w:szCs w:val="26"/>
        </w:rPr>
        <w:t xml:space="preserve">Figure </w:t>
      </w:r>
      <w:r w:rsidR="001B6ADC" w:rsidRPr="00A34E03">
        <w:rPr>
          <w:noProof/>
          <w:szCs w:val="26"/>
        </w:rPr>
        <w:t>1</w:t>
      </w:r>
      <w:r w:rsidRPr="00A34E03">
        <w:rPr>
          <w:szCs w:val="26"/>
        </w:rPr>
        <w:fldChar w:fldCharType="end"/>
      </w:r>
      <w:r w:rsidRPr="00A34E03">
        <w:rPr>
          <w:rStyle w:val="IvDbodytextChar"/>
          <w:szCs w:val="26"/>
        </w:rPr>
        <w:t>. In principle, NR and LTE can be deployed without any interworking, denoted by NR stand-alone (SA) operation, that is gNB in NR can be connected to 5G core network (5GCN) and eNB can be connected to EPC with no interconnection between the two (Option 1 and Option 2 in the figure). On the other hand, the first supported version of NR is the so-called EN-DC (EUTRAN-NR Dual Connectivity), illustrated by Option 3. In such a deployment, dual connectivity between NR and LTE is applied with LTE as the master and NR as the secondary node. The RAN node (gNB) supporting NR, may not have a control plane connection to core network (EPC), instead it relies on the LTE as master node (MeNB). This is also called as “Non-standalone NR". Notice that in this case the functionality of an NR cell is limited and would be used for connected mode UEs as a booster and/or diversity leg, but a UE cannot camp on these NR cells.</w:t>
      </w:r>
    </w:p>
    <w:p w14:paraId="16C4E7B4" w14:textId="012E2A5B" w:rsidR="00FF1DA6" w:rsidRPr="00A34E03" w:rsidRDefault="005F43FA" w:rsidP="005F43FA">
      <w:pPr>
        <w:keepNext/>
        <w:rPr>
          <w:rFonts w:eastAsia="Arial" w:cs="Arial"/>
          <w:szCs w:val="26"/>
        </w:rPr>
      </w:pPr>
      <w:r w:rsidRPr="00A34E03">
        <w:rPr>
          <w:rFonts w:eastAsia="Arial" w:cs="Arial"/>
          <w:szCs w:val="26"/>
        </w:rPr>
        <w:t xml:space="preserve">With introduction of 5GCN, other options may be also valid. As mentioned above, option 2 supports stand-alone NR deployment where gNB is connected to 5GCN. Similarly, LTE can also be connected to 5GCN using option 5. In these cases, both NR and LTE </w:t>
      </w:r>
      <w:proofErr w:type="gramStart"/>
      <w:r w:rsidRPr="00A34E03">
        <w:rPr>
          <w:rFonts w:eastAsia="Arial" w:cs="Arial"/>
          <w:szCs w:val="26"/>
        </w:rPr>
        <w:t>are seen as</w:t>
      </w:r>
      <w:proofErr w:type="gramEnd"/>
      <w:r w:rsidRPr="00A34E03">
        <w:rPr>
          <w:rFonts w:eastAsia="Arial" w:cs="Arial"/>
          <w:szCs w:val="26"/>
        </w:rPr>
        <w:t xml:space="preserve"> part of the NG-RAN. It is worth noting that, Option 4 and option 7 are other variants of dual connectivity between LTE and NR which will be standardized as part of NG-RAN connected to 5GC, denoted by MR-DC (Multi-Radio Dual Connectivity). Option 6 and 8, where gNB </w:t>
      </w:r>
      <w:r w:rsidR="00FF1DA6" w:rsidRPr="00A34E03">
        <w:rPr>
          <w:rFonts w:eastAsia="Arial" w:cs="Arial"/>
          <w:szCs w:val="26"/>
        </w:rPr>
        <w:t>i</w:t>
      </w:r>
      <w:r w:rsidRPr="00A34E03">
        <w:rPr>
          <w:rFonts w:eastAsia="Arial" w:cs="Arial"/>
          <w:szCs w:val="26"/>
        </w:rPr>
        <w:t>s connected to EPC (with and without interconnectivity to LTE) are also possible, although they seem to be less practical and hence they will not be pursued further in 3GPP.</w:t>
      </w:r>
    </w:p>
    <w:p w14:paraId="5725694F" w14:textId="70D1948B" w:rsidR="005F43FA" w:rsidRPr="00C543E6" w:rsidRDefault="005F43FA" w:rsidP="005F43FA">
      <w:pPr>
        <w:keepNext/>
        <w:rPr>
          <w:sz w:val="26"/>
          <w:szCs w:val="26"/>
        </w:rPr>
      </w:pPr>
      <w:r w:rsidRPr="00C543E6">
        <w:rPr>
          <w:noProof/>
          <w:sz w:val="26"/>
          <w:szCs w:val="26"/>
        </w:rPr>
        <w:drawing>
          <wp:inline distT="0" distB="0" distL="0" distR="0" wp14:anchorId="020417C7" wp14:editId="65405A35">
            <wp:extent cx="5762625" cy="3200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2625" cy="3200400"/>
                    </a:xfrm>
                    <a:prstGeom prst="rect">
                      <a:avLst/>
                    </a:prstGeom>
                    <a:noFill/>
                    <a:ln>
                      <a:noFill/>
                    </a:ln>
                  </pic:spPr>
                </pic:pic>
              </a:graphicData>
            </a:graphic>
          </wp:inline>
        </w:drawing>
      </w:r>
    </w:p>
    <w:p w14:paraId="5145EE44" w14:textId="43EA5F06" w:rsidR="005F43FA" w:rsidRPr="00447041" w:rsidRDefault="005F43FA" w:rsidP="005F43FA">
      <w:pPr>
        <w:pStyle w:val="Caption"/>
        <w:rPr>
          <w:b w:val="0"/>
          <w:szCs w:val="26"/>
        </w:rPr>
      </w:pPr>
      <w:bookmarkStart w:id="2" w:name="_Ref503265979"/>
      <w:r w:rsidRPr="00447041">
        <w:rPr>
          <w:szCs w:val="26"/>
        </w:rPr>
        <w:t xml:space="preserve">Figure </w:t>
      </w:r>
      <w:r w:rsidRPr="00447041">
        <w:rPr>
          <w:szCs w:val="26"/>
        </w:rPr>
        <w:fldChar w:fldCharType="begin"/>
      </w:r>
      <w:r w:rsidRPr="00447041">
        <w:rPr>
          <w:szCs w:val="26"/>
        </w:rPr>
        <w:instrText xml:space="preserve"> SEQ Figure \* ARABIC </w:instrText>
      </w:r>
      <w:r w:rsidRPr="00447041">
        <w:rPr>
          <w:szCs w:val="26"/>
        </w:rPr>
        <w:fldChar w:fldCharType="separate"/>
      </w:r>
      <w:r w:rsidR="001B6ADC" w:rsidRPr="00447041">
        <w:rPr>
          <w:noProof/>
          <w:szCs w:val="26"/>
        </w:rPr>
        <w:t>1</w:t>
      </w:r>
      <w:r w:rsidRPr="00447041">
        <w:rPr>
          <w:szCs w:val="26"/>
        </w:rPr>
        <w:fldChar w:fldCharType="end"/>
      </w:r>
      <w:bookmarkEnd w:id="2"/>
      <w:r w:rsidRPr="00447041">
        <w:rPr>
          <w:szCs w:val="26"/>
        </w:rPr>
        <w:t xml:space="preserve"> LTE and NR interworking options</w:t>
      </w:r>
    </w:p>
    <w:p w14:paraId="02D27622" w14:textId="6D7B2AAD" w:rsidR="005F43FA" w:rsidRPr="007347EE" w:rsidRDefault="005F43FA" w:rsidP="005F43FA">
      <w:pPr>
        <w:rPr>
          <w:szCs w:val="26"/>
        </w:rPr>
      </w:pPr>
      <w:r w:rsidRPr="00447041">
        <w:rPr>
          <w:rFonts w:eastAsia="Arial" w:cs="Arial"/>
          <w:szCs w:val="26"/>
        </w:rPr>
        <w:t xml:space="preserve">As migration for these options may differ from different operators, it is possible to have deployments with multiple options in parallel in the same network e.g. there could be eNB base station supporting option 3, 5 and 7 in the same network as NR base station supporting 2 and 4. In combination with dual connectivity solutions between LTE and NR it is also possible to support CA (Carrier Aggregation) in each cell group (i.e. MCG and SCG) and dual connectivity between nodes on same RAT (e.g. NR-NR DC). </w:t>
      </w:r>
      <w:r w:rsidR="007347EE" w:rsidRPr="007347EE">
        <w:rPr>
          <w:rFonts w:eastAsia="Arial" w:cs="Arial"/>
          <w:szCs w:val="26"/>
        </w:rPr>
        <w:t xml:space="preserve">For the </w:t>
      </w:r>
      <w:r w:rsidR="007347EE">
        <w:rPr>
          <w:rFonts w:eastAsia="Arial" w:cs="Arial"/>
          <w:szCs w:val="26"/>
        </w:rPr>
        <w:t xml:space="preserve">LTE </w:t>
      </w:r>
      <w:r w:rsidR="007347EE" w:rsidRPr="007347EE">
        <w:rPr>
          <w:rFonts w:eastAsia="Arial" w:cs="Arial"/>
          <w:szCs w:val="26"/>
        </w:rPr>
        <w:t xml:space="preserve">cells, a consequence of these different deployments is the co-existence of </w:t>
      </w:r>
      <w:r w:rsidR="007347EE">
        <w:rPr>
          <w:rFonts w:eastAsia="Arial" w:cs="Arial"/>
          <w:szCs w:val="26"/>
        </w:rPr>
        <w:t>LTE c</w:t>
      </w:r>
      <w:r w:rsidR="007347EE" w:rsidRPr="007347EE">
        <w:rPr>
          <w:rFonts w:eastAsia="Arial" w:cs="Arial"/>
          <w:szCs w:val="26"/>
        </w:rPr>
        <w:t xml:space="preserve">ells </w:t>
      </w:r>
      <w:r w:rsidR="007347EE">
        <w:rPr>
          <w:rFonts w:eastAsia="Arial" w:cs="Arial"/>
          <w:szCs w:val="26"/>
        </w:rPr>
        <w:t>associated to eNBs connected to EPC, 5GC or both EPC/5GC</w:t>
      </w:r>
      <w:r w:rsidR="007347EE" w:rsidRPr="007347EE">
        <w:rPr>
          <w:rFonts w:eastAsia="Arial" w:cs="Arial"/>
          <w:szCs w:val="26"/>
        </w:rPr>
        <w:t>.</w:t>
      </w:r>
    </w:p>
    <w:p w14:paraId="53CE40B1" w14:textId="37DBC713" w:rsidR="00CC15C8" w:rsidRPr="00B50E6E" w:rsidRDefault="00CC15C8" w:rsidP="00CC15C8">
      <w:pPr>
        <w:pStyle w:val="BodyText"/>
        <w:numPr>
          <w:ilvl w:val="0"/>
          <w:numId w:val="48"/>
        </w:numPr>
        <w:ind w:left="1560" w:hanging="1560"/>
        <w:textAlignment w:val="auto"/>
        <w:rPr>
          <w:b/>
          <w:bCs/>
        </w:rPr>
      </w:pPr>
      <w:r>
        <w:rPr>
          <w:b/>
          <w:bCs/>
          <w:lang w:val="en-US"/>
        </w:rPr>
        <w:lastRenderedPageBreak/>
        <w:t xml:space="preserve">There </w:t>
      </w:r>
      <w:r w:rsidRPr="00B50E6E">
        <w:rPr>
          <w:b/>
          <w:bCs/>
          <w:lang w:val="en-US"/>
        </w:rPr>
        <w:t xml:space="preserve">will </w:t>
      </w:r>
      <w:r>
        <w:rPr>
          <w:b/>
          <w:bCs/>
          <w:lang w:val="en-US"/>
        </w:rPr>
        <w:t>be 5G deployments with e</w:t>
      </w:r>
      <w:r w:rsidRPr="00B50E6E">
        <w:rPr>
          <w:b/>
          <w:bCs/>
          <w:lang w:val="en-US"/>
        </w:rPr>
        <w:t xml:space="preserve">NBs </w:t>
      </w:r>
      <w:r>
        <w:rPr>
          <w:b/>
          <w:bCs/>
          <w:lang w:val="en-US"/>
        </w:rPr>
        <w:t>having EUTRA</w:t>
      </w:r>
      <w:r w:rsidRPr="00B50E6E">
        <w:rPr>
          <w:b/>
          <w:bCs/>
          <w:lang w:val="en-US"/>
        </w:rPr>
        <w:t xml:space="preserve"> cells </w:t>
      </w:r>
      <w:r>
        <w:rPr>
          <w:b/>
          <w:bCs/>
          <w:lang w:val="en-US"/>
        </w:rPr>
        <w:t xml:space="preserve">associated to eNBs connected to EPC </w:t>
      </w:r>
      <w:r w:rsidR="00C21B15">
        <w:rPr>
          <w:b/>
          <w:bCs/>
          <w:lang w:val="en-US"/>
        </w:rPr>
        <w:t xml:space="preserve">or </w:t>
      </w:r>
      <w:r>
        <w:rPr>
          <w:b/>
          <w:bCs/>
          <w:lang w:val="en-US"/>
        </w:rPr>
        <w:t>5GC</w:t>
      </w:r>
      <w:r w:rsidRPr="00B50E6E">
        <w:rPr>
          <w:b/>
          <w:bCs/>
        </w:rPr>
        <w:t>.</w:t>
      </w:r>
    </w:p>
    <w:p w14:paraId="69ADA2CE" w14:textId="64D38FD9" w:rsidR="0069297C" w:rsidRDefault="008A5729" w:rsidP="005F43FA">
      <w:r w:rsidRPr="00B50E6E">
        <w:rPr>
          <w:rFonts w:eastAsia="Arial" w:cs="Arial"/>
        </w:rPr>
        <w:t xml:space="preserve">As different </w:t>
      </w:r>
      <w:r>
        <w:rPr>
          <w:rFonts w:eastAsia="Arial" w:cs="Arial"/>
        </w:rPr>
        <w:t xml:space="preserve">EUTRA </w:t>
      </w:r>
      <w:r w:rsidRPr="00B50E6E">
        <w:rPr>
          <w:rFonts w:eastAsia="Arial" w:cs="Arial"/>
        </w:rPr>
        <w:t xml:space="preserve">cells </w:t>
      </w:r>
      <w:r>
        <w:rPr>
          <w:rFonts w:eastAsia="Arial" w:cs="Arial"/>
        </w:rPr>
        <w:t xml:space="preserve">are associated to eNBs supporting Xn (in case eNB connects to 5GC) </w:t>
      </w:r>
      <w:r w:rsidR="009C1020">
        <w:rPr>
          <w:rFonts w:eastAsia="Arial" w:cs="Arial"/>
        </w:rPr>
        <w:t xml:space="preserve">or </w:t>
      </w:r>
      <w:r>
        <w:rPr>
          <w:rFonts w:eastAsia="Arial" w:cs="Arial"/>
        </w:rPr>
        <w:t>X2 (in case eNB connects to EPC) setup, requesting t</w:t>
      </w:r>
      <w:r w:rsidR="005F0C93">
        <w:rPr>
          <w:rFonts w:eastAsia="Arial" w:cs="Arial"/>
        </w:rPr>
        <w:t>o</w:t>
      </w:r>
      <w:r>
        <w:rPr>
          <w:rFonts w:eastAsia="Arial" w:cs="Arial"/>
        </w:rPr>
        <w:t xml:space="preserve"> setup an inter-node interface to an eNB that does not support the setup of that interface may lead to problems. Also, as these different EUTRA cells support </w:t>
      </w:r>
      <w:r w:rsidRPr="00B50E6E">
        <w:rPr>
          <w:rFonts w:eastAsia="Arial" w:cs="Arial"/>
        </w:rPr>
        <w:t xml:space="preserve">different functionalities, and the UE may not support all the options, a serving </w:t>
      </w:r>
      <w:r>
        <w:rPr>
          <w:rFonts w:eastAsia="Arial" w:cs="Arial"/>
        </w:rPr>
        <w:t>g</w:t>
      </w:r>
      <w:r w:rsidRPr="00B50E6E">
        <w:rPr>
          <w:rFonts w:eastAsia="Arial" w:cs="Arial"/>
        </w:rPr>
        <w:t>NB must know wh</w:t>
      </w:r>
      <w:r w:rsidR="003A323E">
        <w:rPr>
          <w:rFonts w:eastAsia="Arial" w:cs="Arial"/>
        </w:rPr>
        <w:t>at</w:t>
      </w:r>
      <w:r w:rsidRPr="00B50E6E">
        <w:rPr>
          <w:rFonts w:eastAsia="Arial" w:cs="Arial"/>
        </w:rPr>
        <w:t xml:space="preserve"> </w:t>
      </w:r>
      <w:r w:rsidR="003218B8">
        <w:rPr>
          <w:rFonts w:eastAsia="Arial" w:cs="Arial"/>
        </w:rPr>
        <w:t xml:space="preserve">it can perform for a </w:t>
      </w:r>
      <w:r w:rsidRPr="00B50E6E">
        <w:rPr>
          <w:rFonts w:eastAsia="Arial" w:cs="Arial"/>
        </w:rPr>
        <w:t xml:space="preserve">given UE </w:t>
      </w:r>
      <w:r w:rsidR="003A323E">
        <w:rPr>
          <w:rFonts w:eastAsia="Arial" w:cs="Arial"/>
        </w:rPr>
        <w:t>in case of</w:t>
      </w:r>
      <w:r w:rsidR="003218B8">
        <w:rPr>
          <w:rFonts w:eastAsia="Arial" w:cs="Arial"/>
        </w:rPr>
        <w:t xml:space="preserve"> inter-system and/or intra-system handover</w:t>
      </w:r>
      <w:r>
        <w:rPr>
          <w:rFonts w:eastAsia="Arial" w:cs="Arial"/>
        </w:rPr>
        <w:t>.</w:t>
      </w:r>
      <w:r w:rsidR="0069297C">
        <w:rPr>
          <w:rFonts w:eastAsia="Arial" w:cs="Arial"/>
        </w:rPr>
        <w:t xml:space="preserve"> </w:t>
      </w:r>
      <w:r w:rsidR="0069297C">
        <w:t>Therefore, it is importance for the eNB/gNB to know the CN type of its neighbouring eNBs, and hence we propose that this information is stored in the ANR tables.</w:t>
      </w:r>
    </w:p>
    <w:p w14:paraId="6BD319CE" w14:textId="714D492A" w:rsidR="0069297C" w:rsidRDefault="0069297C" w:rsidP="00A34E03">
      <w:pPr>
        <w:pStyle w:val="Proposal"/>
        <w:tabs>
          <w:tab w:val="clear" w:pos="1871"/>
        </w:tabs>
        <w:ind w:left="1701" w:hanging="1701"/>
      </w:pPr>
      <w:r w:rsidRPr="00F30271">
        <w:t xml:space="preserve">ANR table defined in </w:t>
      </w:r>
      <w:r>
        <w:t>e</w:t>
      </w:r>
      <w:r w:rsidRPr="00F30271">
        <w:t>NBs indicates if an EUTRA neighbour cell is associated to an eNB connected to EPC, 5GC or both EPC/5GC.</w:t>
      </w:r>
    </w:p>
    <w:p w14:paraId="45930387" w14:textId="77777777" w:rsidR="0069297C" w:rsidRPr="00AF2601" w:rsidRDefault="0069297C" w:rsidP="0069297C">
      <w:pPr>
        <w:pStyle w:val="Proposal"/>
        <w:tabs>
          <w:tab w:val="clear" w:pos="1871"/>
        </w:tabs>
        <w:ind w:left="1701" w:hanging="1701"/>
      </w:pPr>
      <w:r w:rsidRPr="00AF2601">
        <w:t>ANR table defined in gNBs indicates if an EUTRA neighbour cell is associated to an eNB connected to EPC, 5GC or both EPC/5GC.</w:t>
      </w:r>
    </w:p>
    <w:p w14:paraId="6E675A38" w14:textId="3C283B57" w:rsidR="005F43FA" w:rsidRPr="00A34E03" w:rsidRDefault="00D12E15" w:rsidP="005F43FA">
      <w:pPr>
        <w:pStyle w:val="BodyText"/>
        <w:rPr>
          <w:rFonts w:eastAsia="Arial" w:cs="Arial"/>
        </w:rPr>
      </w:pPr>
      <w:r>
        <w:rPr>
          <w:bCs/>
        </w:rPr>
        <w:t>While such information can be updated manually for example</w:t>
      </w:r>
      <w:r w:rsidR="00265358">
        <w:rPr>
          <w:bCs/>
        </w:rPr>
        <w:t xml:space="preserve"> </w:t>
      </w:r>
      <w:r w:rsidR="005F43FA" w:rsidRPr="00A34E03">
        <w:t>via OMA</w:t>
      </w:r>
      <w:r w:rsidR="00265358">
        <w:t>, a</w:t>
      </w:r>
      <w:r w:rsidR="005F43FA" w:rsidRPr="00A34E03">
        <w:t xml:space="preserve"> more efficient alternative </w:t>
      </w:r>
      <w:r w:rsidR="00B57A4B">
        <w:t>is</w:t>
      </w:r>
      <w:r w:rsidR="005F43FA" w:rsidRPr="00A34E03">
        <w:t xml:space="preserve"> to rely on </w:t>
      </w:r>
      <w:r w:rsidR="00B57A4B">
        <w:t xml:space="preserve">enhanced </w:t>
      </w:r>
      <w:r w:rsidR="005F43FA" w:rsidRPr="00A34E03">
        <w:rPr>
          <w:rFonts w:eastAsia="Arial" w:cs="Arial"/>
        </w:rPr>
        <w:t xml:space="preserve">CGI reporting functionality where the UE </w:t>
      </w:r>
      <w:r w:rsidR="00B57A4B">
        <w:rPr>
          <w:rFonts w:eastAsia="Arial" w:cs="Arial"/>
        </w:rPr>
        <w:t xml:space="preserve">indicates the CN type (EPC, 5GC or both) in the </w:t>
      </w:r>
      <w:proofErr w:type="spellStart"/>
      <w:r w:rsidR="00B57A4B" w:rsidRPr="00A34E03">
        <w:rPr>
          <w:rFonts w:eastAsia="Arial" w:cs="Arial"/>
          <w:i/>
        </w:rPr>
        <w:t>reportCGI</w:t>
      </w:r>
      <w:proofErr w:type="spellEnd"/>
      <w:r w:rsidR="00B57A4B">
        <w:rPr>
          <w:rFonts w:eastAsia="Arial" w:cs="Arial"/>
          <w:i/>
        </w:rPr>
        <w:t xml:space="preserve">. </w:t>
      </w:r>
      <w:r w:rsidR="00B57A4B">
        <w:rPr>
          <w:rFonts w:eastAsia="Arial" w:cs="Arial"/>
        </w:rPr>
        <w:t xml:space="preserve">More precisely, the UE </w:t>
      </w:r>
      <w:r w:rsidR="005F43FA" w:rsidRPr="00A34E03">
        <w:rPr>
          <w:rFonts w:eastAsia="Arial" w:cs="Arial"/>
        </w:rPr>
        <w:t xml:space="preserve">is provided by the </w:t>
      </w:r>
      <w:r w:rsidR="00B57A4B">
        <w:rPr>
          <w:rFonts w:eastAsia="Arial" w:cs="Arial"/>
        </w:rPr>
        <w:t xml:space="preserve">serving eNB/gNB </w:t>
      </w:r>
      <w:r w:rsidR="005F43FA" w:rsidRPr="00A34E03">
        <w:rPr>
          <w:rFonts w:eastAsia="Arial" w:cs="Arial"/>
        </w:rPr>
        <w:t xml:space="preserve">with an </w:t>
      </w:r>
      <w:r w:rsidR="00CA1B6B">
        <w:rPr>
          <w:rFonts w:eastAsia="Arial" w:cs="Arial"/>
        </w:rPr>
        <w:t xml:space="preserve">LTE </w:t>
      </w:r>
      <w:r w:rsidR="005F43FA" w:rsidRPr="00A34E03">
        <w:rPr>
          <w:rFonts w:eastAsia="Arial" w:cs="Arial"/>
        </w:rPr>
        <w:t xml:space="preserve">cell identifier based on </w:t>
      </w:r>
      <w:r w:rsidR="00B57A4B">
        <w:rPr>
          <w:rFonts w:eastAsia="Arial" w:cs="Arial"/>
        </w:rPr>
        <w:t>which</w:t>
      </w:r>
      <w:r w:rsidR="005F43FA" w:rsidRPr="00A34E03">
        <w:rPr>
          <w:rFonts w:eastAsia="Arial" w:cs="Arial"/>
        </w:rPr>
        <w:t xml:space="preserve"> it acquires system information associated with that cell identifier and derives</w:t>
      </w:r>
      <w:r w:rsidR="00B57A4B">
        <w:rPr>
          <w:rFonts w:eastAsia="Arial" w:cs="Arial"/>
        </w:rPr>
        <w:t xml:space="preserve"> if that cell is connected to EPC</w:t>
      </w:r>
      <w:r w:rsidR="009C1020">
        <w:rPr>
          <w:rFonts w:eastAsia="Arial" w:cs="Arial"/>
        </w:rPr>
        <w:t xml:space="preserve"> or </w:t>
      </w:r>
      <w:r w:rsidR="00B57A4B">
        <w:rPr>
          <w:rFonts w:eastAsia="Arial" w:cs="Arial"/>
        </w:rPr>
        <w:t>5</w:t>
      </w:r>
      <w:proofErr w:type="gramStart"/>
      <w:r w:rsidR="00B57A4B">
        <w:rPr>
          <w:rFonts w:eastAsia="Arial" w:cs="Arial"/>
        </w:rPr>
        <w:t xml:space="preserve">GC </w:t>
      </w:r>
      <w:r w:rsidR="005F43FA" w:rsidRPr="00A34E03">
        <w:rPr>
          <w:rFonts w:eastAsia="Arial" w:cs="Arial"/>
        </w:rPr>
        <w:t>.</w:t>
      </w:r>
      <w:proofErr w:type="gramEnd"/>
      <w:r w:rsidR="00B57A4B">
        <w:rPr>
          <w:rFonts w:eastAsia="Arial" w:cs="Arial"/>
        </w:rPr>
        <w:t xml:space="preserve"> </w:t>
      </w:r>
      <w:r w:rsidR="005F43FA" w:rsidRPr="00A34E03">
        <w:rPr>
          <w:rFonts w:eastAsia="Arial" w:cs="Arial"/>
        </w:rPr>
        <w:t xml:space="preserve">RAN2 can further discuss what would be the most appropriate way to </w:t>
      </w:r>
      <w:r w:rsidR="00B57A4B">
        <w:rPr>
          <w:rFonts w:eastAsia="Arial" w:cs="Arial"/>
        </w:rPr>
        <w:t xml:space="preserve">include such indication in </w:t>
      </w:r>
      <w:proofErr w:type="spellStart"/>
      <w:r w:rsidR="00B57A4B" w:rsidRPr="00A34E03">
        <w:rPr>
          <w:rFonts w:eastAsia="Arial" w:cs="Arial"/>
          <w:i/>
        </w:rPr>
        <w:t>reportCGI</w:t>
      </w:r>
      <w:proofErr w:type="spellEnd"/>
      <w:r w:rsidR="005F43FA" w:rsidRPr="00A34E03">
        <w:rPr>
          <w:rFonts w:eastAsia="Arial" w:cs="Arial"/>
        </w:rPr>
        <w:t>.</w:t>
      </w:r>
    </w:p>
    <w:p w14:paraId="3B1AB9C8" w14:textId="38A0E268" w:rsidR="00B63971" w:rsidRPr="00AF2601" w:rsidRDefault="00B63971" w:rsidP="00B63971">
      <w:pPr>
        <w:pStyle w:val="Proposal"/>
        <w:tabs>
          <w:tab w:val="clear" w:pos="1871"/>
        </w:tabs>
        <w:ind w:left="1701" w:hanging="1701"/>
      </w:pPr>
      <w:r w:rsidRPr="00AF2601">
        <w:t xml:space="preserve">CGI report </w:t>
      </w:r>
      <w:r w:rsidR="00411A6C">
        <w:t xml:space="preserve">includes an indication of the CN </w:t>
      </w:r>
      <w:r w:rsidR="00A34E03">
        <w:t xml:space="preserve">type </w:t>
      </w:r>
      <w:r w:rsidR="00411A6C">
        <w:t>(e.g. 5GC, EPC) the LTE cell is associated</w:t>
      </w:r>
      <w:r w:rsidR="00B57A4B">
        <w:t xml:space="preserve"> to</w:t>
      </w:r>
      <w:r w:rsidRPr="00AF2601">
        <w:t>.</w:t>
      </w:r>
    </w:p>
    <w:p w14:paraId="6DAAF8C8" w14:textId="77777777" w:rsidR="00C01F33" w:rsidRPr="00A34E03" w:rsidRDefault="00C01F33" w:rsidP="00CE0424">
      <w:pPr>
        <w:pStyle w:val="Heading1"/>
      </w:pPr>
      <w:r w:rsidRPr="00A34E03">
        <w:t>Conclusion</w:t>
      </w:r>
    </w:p>
    <w:p w14:paraId="280A0126" w14:textId="6532A2B1" w:rsidR="004158C2" w:rsidRPr="00A34E03" w:rsidRDefault="004158C2" w:rsidP="00C47863">
      <w:pPr>
        <w:pStyle w:val="BodyText"/>
        <w:rPr>
          <w:b/>
        </w:rPr>
      </w:pPr>
      <w:r w:rsidRPr="00A34E03">
        <w:t>In the previous section, the following has been observed:</w:t>
      </w:r>
    </w:p>
    <w:p w14:paraId="28075D13" w14:textId="77777777" w:rsidR="00563637" w:rsidRPr="00A34E03" w:rsidRDefault="00563637" w:rsidP="00563637">
      <w:pPr>
        <w:rPr>
          <w:b/>
        </w:rPr>
      </w:pPr>
    </w:p>
    <w:p w14:paraId="3D8A6184" w14:textId="0FBA8D56" w:rsidR="00563637" w:rsidRPr="00A34E03" w:rsidRDefault="00FC2335" w:rsidP="0039042B">
      <w:pPr>
        <w:pStyle w:val="BodyText"/>
        <w:numPr>
          <w:ilvl w:val="0"/>
          <w:numId w:val="40"/>
        </w:numPr>
        <w:ind w:left="1701" w:hanging="1701"/>
        <w:rPr>
          <w:b/>
        </w:rPr>
      </w:pPr>
      <w:r>
        <w:rPr>
          <w:b/>
          <w:bCs/>
          <w:lang w:val="en-US"/>
        </w:rPr>
        <w:t xml:space="preserve">There </w:t>
      </w:r>
      <w:r w:rsidRPr="00B50E6E">
        <w:rPr>
          <w:b/>
          <w:bCs/>
          <w:lang w:val="en-US"/>
        </w:rPr>
        <w:t xml:space="preserve">will </w:t>
      </w:r>
      <w:r>
        <w:rPr>
          <w:b/>
          <w:bCs/>
          <w:lang w:val="en-US"/>
        </w:rPr>
        <w:t>be 5G deployments with e</w:t>
      </w:r>
      <w:r w:rsidRPr="00B50E6E">
        <w:rPr>
          <w:b/>
          <w:bCs/>
          <w:lang w:val="en-US"/>
        </w:rPr>
        <w:t xml:space="preserve">NBs </w:t>
      </w:r>
      <w:r>
        <w:rPr>
          <w:b/>
          <w:bCs/>
          <w:lang w:val="en-US"/>
        </w:rPr>
        <w:t>having EUTRA</w:t>
      </w:r>
      <w:r w:rsidRPr="00B50E6E">
        <w:rPr>
          <w:b/>
          <w:bCs/>
          <w:lang w:val="en-US"/>
        </w:rPr>
        <w:t xml:space="preserve"> cells </w:t>
      </w:r>
      <w:r>
        <w:rPr>
          <w:b/>
          <w:bCs/>
          <w:lang w:val="en-US"/>
        </w:rPr>
        <w:t>associated to eNBs connected to i) EPC only, ii) 5GC only or iii) both EPC/5GC</w:t>
      </w:r>
      <w:r w:rsidR="00563637" w:rsidRPr="00A34E03">
        <w:rPr>
          <w:b/>
        </w:rPr>
        <w:t>.</w:t>
      </w:r>
    </w:p>
    <w:p w14:paraId="16969E17" w14:textId="77777777" w:rsidR="00BE148F" w:rsidRDefault="00BE148F" w:rsidP="004158C2">
      <w:pPr>
        <w:pStyle w:val="BodyText"/>
      </w:pPr>
    </w:p>
    <w:p w14:paraId="16745B98" w14:textId="060F5E05" w:rsidR="004158C2" w:rsidRPr="00A34E03" w:rsidRDefault="004158C2" w:rsidP="004158C2">
      <w:pPr>
        <w:pStyle w:val="BodyText"/>
      </w:pPr>
      <w:r w:rsidRPr="00A34E03">
        <w:t>Based on these observations, we have proposed the following:</w:t>
      </w:r>
    </w:p>
    <w:p w14:paraId="510B833D" w14:textId="1551FB1E" w:rsidR="003055B1" w:rsidRPr="00A34E03" w:rsidRDefault="00BE148F" w:rsidP="00F40DBB">
      <w:pPr>
        <w:pStyle w:val="Proposal"/>
        <w:numPr>
          <w:ilvl w:val="0"/>
          <w:numId w:val="44"/>
        </w:numPr>
        <w:ind w:left="1710" w:hanging="1710"/>
      </w:pPr>
      <w:r w:rsidRPr="00F30271">
        <w:t>ANR table defined</w:t>
      </w:r>
      <w:r w:rsidR="00FC2335" w:rsidRPr="00F30271">
        <w:t xml:space="preserve"> in </w:t>
      </w:r>
      <w:r>
        <w:t>e</w:t>
      </w:r>
      <w:r w:rsidRPr="00F30271">
        <w:t>NBs indicates if an EUTRA neighbour</w:t>
      </w:r>
      <w:r w:rsidR="00FC2335" w:rsidRPr="00F30271">
        <w:t xml:space="preserve"> cell is associated to an eNB connected to EPC, 5GC or both EPC/5GC</w:t>
      </w:r>
      <w:r w:rsidR="00A15DFC" w:rsidRPr="00A34E03">
        <w:t>.</w:t>
      </w:r>
    </w:p>
    <w:p w14:paraId="12CB3AA2" w14:textId="0A394619" w:rsidR="00673A0C" w:rsidRDefault="00FC2335" w:rsidP="00F40DBB">
      <w:pPr>
        <w:pStyle w:val="Proposal"/>
        <w:numPr>
          <w:ilvl w:val="0"/>
          <w:numId w:val="44"/>
        </w:numPr>
        <w:ind w:left="1710" w:hanging="1710"/>
      </w:pPr>
      <w:r w:rsidRPr="00F30271">
        <w:t>ANR table defined in gNBs indicates if an EUTRA neighbour cell is associated to an eNB connected to EPC, 5GC or both EPC/5GC</w:t>
      </w:r>
      <w:r w:rsidR="00A15DFC" w:rsidRPr="00A34E03">
        <w:t>.</w:t>
      </w:r>
    </w:p>
    <w:p w14:paraId="27635178" w14:textId="39DCC844" w:rsidR="00320A08" w:rsidRDefault="00BE148F" w:rsidP="00320A08">
      <w:pPr>
        <w:pStyle w:val="Proposal"/>
        <w:numPr>
          <w:ilvl w:val="0"/>
          <w:numId w:val="44"/>
        </w:numPr>
        <w:ind w:left="1710" w:hanging="1710"/>
      </w:pPr>
      <w:r w:rsidRPr="00AF2601">
        <w:t>CGI report</w:t>
      </w:r>
      <w:r>
        <w:t xml:space="preserve"> includes an indication of the CN </w:t>
      </w:r>
      <w:r w:rsidR="00A34E03">
        <w:t xml:space="preserve">type </w:t>
      </w:r>
      <w:r>
        <w:t>(e.g. 5GC, EPC) the LTE cell is associated to</w:t>
      </w:r>
      <w:r w:rsidRPr="00AF2601">
        <w:t>.</w:t>
      </w:r>
    </w:p>
    <w:p w14:paraId="1F636EFE" w14:textId="4CCEC071" w:rsidR="00E5127C" w:rsidRPr="00A34E03" w:rsidRDefault="00E5127C" w:rsidP="00A34E03">
      <w:pPr>
        <w:pStyle w:val="Reference"/>
        <w:numPr>
          <w:ilvl w:val="0"/>
          <w:numId w:val="0"/>
        </w:numPr>
        <w:spacing w:line="276" w:lineRule="auto"/>
        <w:ind w:left="567" w:hanging="567"/>
        <w:rPr>
          <w:rFonts w:cs="Arial"/>
          <w:szCs w:val="26"/>
        </w:rPr>
      </w:pPr>
      <w:bookmarkStart w:id="3" w:name="_In-sequence_SDU_delivery"/>
      <w:bookmarkEnd w:id="3"/>
    </w:p>
    <w:sectPr w:rsidR="00E5127C" w:rsidRPr="00A34E0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8DF48" w14:textId="77777777" w:rsidR="001C71A4" w:rsidRDefault="001C71A4">
      <w:r>
        <w:separator/>
      </w:r>
    </w:p>
  </w:endnote>
  <w:endnote w:type="continuationSeparator" w:id="0">
    <w:p w14:paraId="11A4B2AD" w14:textId="77777777" w:rsidR="001C71A4" w:rsidRDefault="001C71A4">
      <w:r>
        <w:continuationSeparator/>
      </w:r>
    </w:p>
  </w:endnote>
  <w:endnote w:type="continuationNotice" w:id="1">
    <w:p w14:paraId="727E90A0" w14:textId="77777777" w:rsidR="001C71A4" w:rsidRDefault="001C71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66E49F2D"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D0D8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0D8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8030C" w14:textId="77777777" w:rsidR="001C71A4" w:rsidRDefault="001C71A4">
      <w:r>
        <w:separator/>
      </w:r>
    </w:p>
  </w:footnote>
  <w:footnote w:type="continuationSeparator" w:id="0">
    <w:p w14:paraId="072467CC" w14:textId="77777777" w:rsidR="001C71A4" w:rsidRDefault="001C71A4">
      <w:r>
        <w:continuationSeparator/>
      </w:r>
    </w:p>
  </w:footnote>
  <w:footnote w:type="continuationNotice" w:id="1">
    <w:p w14:paraId="381B7A4C" w14:textId="77777777" w:rsidR="001C71A4" w:rsidRDefault="001C71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6C7391" w:rsidRDefault="006C739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8" w15:restartNumberingAfterBreak="0">
    <w:nsid w:val="146476EA"/>
    <w:multiLevelType w:val="hybridMultilevel"/>
    <w:tmpl w:val="3F4A7C9E"/>
    <w:lvl w:ilvl="0" w:tplc="E30CC44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62335D"/>
    <w:multiLevelType w:val="hybridMultilevel"/>
    <w:tmpl w:val="4F8AE9C0"/>
    <w:lvl w:ilvl="0" w:tplc="C12AE26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4"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AA46647"/>
    <w:multiLevelType w:val="hybridMultilevel"/>
    <w:tmpl w:val="1694ABAA"/>
    <w:lvl w:ilvl="0" w:tplc="6B56462A">
      <w:start w:val="1"/>
      <w:numFmt w:val="decimal"/>
      <w:pStyle w:val="Propos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0"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19"/>
  </w:num>
  <w:num w:numId="4">
    <w:abstractNumId w:val="22"/>
  </w:num>
  <w:num w:numId="5">
    <w:abstractNumId w:val="16"/>
  </w:num>
  <w:num w:numId="6">
    <w:abstractNumId w:val="24"/>
  </w:num>
  <w:num w:numId="7">
    <w:abstractNumId w:val="31"/>
  </w:num>
  <w:num w:numId="8">
    <w:abstractNumId w:val="17"/>
  </w:num>
  <w:num w:numId="9">
    <w:abstractNumId w:val="15"/>
  </w:num>
  <w:num w:numId="10">
    <w:abstractNumId w:val="2"/>
  </w:num>
  <w:num w:numId="11">
    <w:abstractNumId w:val="1"/>
  </w:num>
  <w:num w:numId="12">
    <w:abstractNumId w:val="0"/>
  </w:num>
  <w:num w:numId="13">
    <w:abstractNumId w:val="2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7"/>
  </w:num>
  <w:num w:numId="17">
    <w:abstractNumId w:val="29"/>
  </w:num>
  <w:num w:numId="18">
    <w:abstractNumId w:val="14"/>
  </w:num>
  <w:num w:numId="19">
    <w:abstractNumId w:val="19"/>
  </w:num>
  <w:num w:numId="20">
    <w:abstractNumId w:val="34"/>
  </w:num>
  <w:num w:numId="21">
    <w:abstractNumId w:val="5"/>
  </w:num>
  <w:num w:numId="22">
    <w:abstractNumId w:val="38"/>
  </w:num>
  <w:num w:numId="23">
    <w:abstractNumId w:val="36"/>
  </w:num>
  <w:num w:numId="24">
    <w:abstractNumId w:val="12"/>
  </w:num>
  <w:num w:numId="25">
    <w:abstractNumId w:val="35"/>
  </w:num>
  <w:num w:numId="26">
    <w:abstractNumId w:val="19"/>
    <w:lvlOverride w:ilvl="0">
      <w:startOverride w:val="1"/>
    </w:lvlOverride>
  </w:num>
  <w:num w:numId="27">
    <w:abstractNumId w:val="32"/>
  </w:num>
  <w:num w:numId="28">
    <w:abstractNumId w:val="21"/>
  </w:num>
  <w:num w:numId="29">
    <w:abstractNumId w:val="23"/>
  </w:num>
  <w:num w:numId="30">
    <w:abstractNumId w:val="13"/>
  </w:num>
  <w:num w:numId="31">
    <w:abstractNumId w:val="25"/>
  </w:num>
  <w:num w:numId="32">
    <w:abstractNumId w:val="4"/>
  </w:num>
  <w:num w:numId="33">
    <w:abstractNumId w:val="26"/>
  </w:num>
  <w:num w:numId="34">
    <w:abstractNumId w:val="10"/>
  </w:num>
  <w:num w:numId="35">
    <w:abstractNumId w:val="7"/>
  </w:num>
  <w:num w:numId="36">
    <w:abstractNumId w:val="20"/>
  </w:num>
  <w:num w:numId="37">
    <w:abstractNumId w:val="19"/>
    <w:lvlOverride w:ilvl="0">
      <w:startOverride w:val="1"/>
    </w:lvlOverride>
  </w:num>
  <w:num w:numId="38">
    <w:abstractNumId w:val="30"/>
  </w:num>
  <w:num w:numId="39">
    <w:abstractNumId w:val="9"/>
  </w:num>
  <w:num w:numId="40">
    <w:abstractNumId w:val="33"/>
  </w:num>
  <w:num w:numId="41">
    <w:abstractNumId w:val="19"/>
    <w:lvlOverride w:ilvl="0">
      <w:startOverride w:val="1"/>
    </w:lvlOverride>
  </w:num>
  <w:num w:numId="42">
    <w:abstractNumId w:val="8"/>
  </w:num>
  <w:num w:numId="43">
    <w:abstractNumId w:val="19"/>
    <w:lvlOverride w:ilvl="0">
      <w:startOverride w:val="5"/>
    </w:lvlOverride>
  </w:num>
  <w:num w:numId="44">
    <w:abstractNumId w:val="19"/>
    <w:lvlOverride w:ilvl="0">
      <w:startOverride w:val="1"/>
    </w:lvlOverride>
  </w:num>
  <w:num w:numId="45">
    <w:abstractNumId w:val="19"/>
    <w:lvlOverride w:ilvl="0">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A38"/>
    <w:rsid w:val="00002A37"/>
    <w:rsid w:val="000030C2"/>
    <w:rsid w:val="000034CF"/>
    <w:rsid w:val="00006446"/>
    <w:rsid w:val="000064B6"/>
    <w:rsid w:val="00006896"/>
    <w:rsid w:val="00006B58"/>
    <w:rsid w:val="000072B5"/>
    <w:rsid w:val="00007CDC"/>
    <w:rsid w:val="00010397"/>
    <w:rsid w:val="00010E3F"/>
    <w:rsid w:val="00011B28"/>
    <w:rsid w:val="000126B7"/>
    <w:rsid w:val="00013B6A"/>
    <w:rsid w:val="00014780"/>
    <w:rsid w:val="00015D15"/>
    <w:rsid w:val="00020E09"/>
    <w:rsid w:val="00024D29"/>
    <w:rsid w:val="0002564D"/>
    <w:rsid w:val="00025ECA"/>
    <w:rsid w:val="00027939"/>
    <w:rsid w:val="000325B8"/>
    <w:rsid w:val="00034C15"/>
    <w:rsid w:val="00036BA1"/>
    <w:rsid w:val="000376BC"/>
    <w:rsid w:val="000422E2"/>
    <w:rsid w:val="0004243D"/>
    <w:rsid w:val="00042F22"/>
    <w:rsid w:val="000444EF"/>
    <w:rsid w:val="0004676E"/>
    <w:rsid w:val="0005087B"/>
    <w:rsid w:val="00052A07"/>
    <w:rsid w:val="00053080"/>
    <w:rsid w:val="000534E3"/>
    <w:rsid w:val="0005606A"/>
    <w:rsid w:val="00057117"/>
    <w:rsid w:val="00057223"/>
    <w:rsid w:val="000616E7"/>
    <w:rsid w:val="0006487E"/>
    <w:rsid w:val="00065E1A"/>
    <w:rsid w:val="00072023"/>
    <w:rsid w:val="00077E5F"/>
    <w:rsid w:val="0008036A"/>
    <w:rsid w:val="00081AE6"/>
    <w:rsid w:val="00081D62"/>
    <w:rsid w:val="00083356"/>
    <w:rsid w:val="00083714"/>
    <w:rsid w:val="000855EB"/>
    <w:rsid w:val="00085B52"/>
    <w:rsid w:val="00085CCC"/>
    <w:rsid w:val="000866F2"/>
    <w:rsid w:val="0009009F"/>
    <w:rsid w:val="00091557"/>
    <w:rsid w:val="000924C1"/>
    <w:rsid w:val="000924F0"/>
    <w:rsid w:val="00092A72"/>
    <w:rsid w:val="00093474"/>
    <w:rsid w:val="0009510F"/>
    <w:rsid w:val="00095F7A"/>
    <w:rsid w:val="000A0CA2"/>
    <w:rsid w:val="000A1B7B"/>
    <w:rsid w:val="000A4A49"/>
    <w:rsid w:val="000A56F2"/>
    <w:rsid w:val="000A6350"/>
    <w:rsid w:val="000A7ADA"/>
    <w:rsid w:val="000B010B"/>
    <w:rsid w:val="000B0E52"/>
    <w:rsid w:val="000B2719"/>
    <w:rsid w:val="000B3A8F"/>
    <w:rsid w:val="000B4AB9"/>
    <w:rsid w:val="000B58C3"/>
    <w:rsid w:val="000B61E9"/>
    <w:rsid w:val="000C165A"/>
    <w:rsid w:val="000C2D7E"/>
    <w:rsid w:val="000C2E19"/>
    <w:rsid w:val="000C6BC7"/>
    <w:rsid w:val="000D0D07"/>
    <w:rsid w:val="000D1B45"/>
    <w:rsid w:val="000D326B"/>
    <w:rsid w:val="000D32A1"/>
    <w:rsid w:val="000D4797"/>
    <w:rsid w:val="000D7FFD"/>
    <w:rsid w:val="000E0527"/>
    <w:rsid w:val="000E1E92"/>
    <w:rsid w:val="000E461A"/>
    <w:rsid w:val="000F06D6"/>
    <w:rsid w:val="000F0EB1"/>
    <w:rsid w:val="000F1106"/>
    <w:rsid w:val="000F3BE9"/>
    <w:rsid w:val="000F3F6C"/>
    <w:rsid w:val="000F6A1E"/>
    <w:rsid w:val="000F6DF3"/>
    <w:rsid w:val="001005FF"/>
    <w:rsid w:val="001062FB"/>
    <w:rsid w:val="001063E6"/>
    <w:rsid w:val="001071A2"/>
    <w:rsid w:val="00110B33"/>
    <w:rsid w:val="00113B0D"/>
    <w:rsid w:val="00113CF4"/>
    <w:rsid w:val="001153EA"/>
    <w:rsid w:val="00115643"/>
    <w:rsid w:val="00116765"/>
    <w:rsid w:val="00120CD4"/>
    <w:rsid w:val="001219F5"/>
    <w:rsid w:val="00121A20"/>
    <w:rsid w:val="001220B2"/>
    <w:rsid w:val="00122F2E"/>
    <w:rsid w:val="0012377F"/>
    <w:rsid w:val="00123B70"/>
    <w:rsid w:val="00124314"/>
    <w:rsid w:val="00126B4A"/>
    <w:rsid w:val="00132FD0"/>
    <w:rsid w:val="001344C0"/>
    <w:rsid w:val="001346FA"/>
    <w:rsid w:val="00135252"/>
    <w:rsid w:val="00136FB1"/>
    <w:rsid w:val="00137AB5"/>
    <w:rsid w:val="00137F0B"/>
    <w:rsid w:val="00143AA5"/>
    <w:rsid w:val="00145D46"/>
    <w:rsid w:val="0014650D"/>
    <w:rsid w:val="00146F27"/>
    <w:rsid w:val="00150A47"/>
    <w:rsid w:val="00151E23"/>
    <w:rsid w:val="001526E0"/>
    <w:rsid w:val="001551B5"/>
    <w:rsid w:val="001643A8"/>
    <w:rsid w:val="001659C1"/>
    <w:rsid w:val="00173995"/>
    <w:rsid w:val="00173A8E"/>
    <w:rsid w:val="00177795"/>
    <w:rsid w:val="0018143F"/>
    <w:rsid w:val="001814F1"/>
    <w:rsid w:val="00182E5B"/>
    <w:rsid w:val="00183C70"/>
    <w:rsid w:val="00183EE0"/>
    <w:rsid w:val="00185DCF"/>
    <w:rsid w:val="00190AC1"/>
    <w:rsid w:val="0019242C"/>
    <w:rsid w:val="0019341A"/>
    <w:rsid w:val="00195684"/>
    <w:rsid w:val="001959B4"/>
    <w:rsid w:val="00196B5E"/>
    <w:rsid w:val="00196FA4"/>
    <w:rsid w:val="00197DF9"/>
    <w:rsid w:val="001A1987"/>
    <w:rsid w:val="001A2564"/>
    <w:rsid w:val="001A2D48"/>
    <w:rsid w:val="001A3C99"/>
    <w:rsid w:val="001A4F24"/>
    <w:rsid w:val="001A5E7F"/>
    <w:rsid w:val="001A6173"/>
    <w:rsid w:val="001A6CBA"/>
    <w:rsid w:val="001B0D97"/>
    <w:rsid w:val="001B148F"/>
    <w:rsid w:val="001B18F0"/>
    <w:rsid w:val="001B2C40"/>
    <w:rsid w:val="001B4D93"/>
    <w:rsid w:val="001B5A5D"/>
    <w:rsid w:val="001B5D49"/>
    <w:rsid w:val="001B5D54"/>
    <w:rsid w:val="001B6ADC"/>
    <w:rsid w:val="001C0DF8"/>
    <w:rsid w:val="001C1CE5"/>
    <w:rsid w:val="001C39BC"/>
    <w:rsid w:val="001C3D2A"/>
    <w:rsid w:val="001C6495"/>
    <w:rsid w:val="001C71A4"/>
    <w:rsid w:val="001D0271"/>
    <w:rsid w:val="001D274A"/>
    <w:rsid w:val="001D51BA"/>
    <w:rsid w:val="001D6342"/>
    <w:rsid w:val="001D6D53"/>
    <w:rsid w:val="001E0A77"/>
    <w:rsid w:val="001E310E"/>
    <w:rsid w:val="001E58E2"/>
    <w:rsid w:val="001E7AED"/>
    <w:rsid w:val="001F3916"/>
    <w:rsid w:val="001F54C5"/>
    <w:rsid w:val="001F5C52"/>
    <w:rsid w:val="001F5EFE"/>
    <w:rsid w:val="001F662C"/>
    <w:rsid w:val="001F7074"/>
    <w:rsid w:val="001F72FE"/>
    <w:rsid w:val="001F74A2"/>
    <w:rsid w:val="00200490"/>
    <w:rsid w:val="00201F3A"/>
    <w:rsid w:val="0020216F"/>
    <w:rsid w:val="00203F96"/>
    <w:rsid w:val="00204372"/>
    <w:rsid w:val="002069B2"/>
    <w:rsid w:val="00207FA3"/>
    <w:rsid w:val="002103B4"/>
    <w:rsid w:val="002113AD"/>
    <w:rsid w:val="00212AEE"/>
    <w:rsid w:val="0021419A"/>
    <w:rsid w:val="00214DA8"/>
    <w:rsid w:val="00215423"/>
    <w:rsid w:val="002158FA"/>
    <w:rsid w:val="00216201"/>
    <w:rsid w:val="002176CE"/>
    <w:rsid w:val="00220600"/>
    <w:rsid w:val="002207D7"/>
    <w:rsid w:val="00222331"/>
    <w:rsid w:val="002224DB"/>
    <w:rsid w:val="00223FCB"/>
    <w:rsid w:val="002252C3"/>
    <w:rsid w:val="00225C54"/>
    <w:rsid w:val="00230765"/>
    <w:rsid w:val="0023085B"/>
    <w:rsid w:val="002319E4"/>
    <w:rsid w:val="00235632"/>
    <w:rsid w:val="00235872"/>
    <w:rsid w:val="00241559"/>
    <w:rsid w:val="0024238F"/>
    <w:rsid w:val="00242F1F"/>
    <w:rsid w:val="002435B3"/>
    <w:rsid w:val="002458EB"/>
    <w:rsid w:val="002500C8"/>
    <w:rsid w:val="00250DAA"/>
    <w:rsid w:val="00251C58"/>
    <w:rsid w:val="00256DAD"/>
    <w:rsid w:val="00257543"/>
    <w:rsid w:val="00257C9E"/>
    <w:rsid w:val="002617E7"/>
    <w:rsid w:val="00261FC8"/>
    <w:rsid w:val="00262C38"/>
    <w:rsid w:val="002634FD"/>
    <w:rsid w:val="00264228"/>
    <w:rsid w:val="00264334"/>
    <w:rsid w:val="0026473E"/>
    <w:rsid w:val="00265358"/>
    <w:rsid w:val="00266214"/>
    <w:rsid w:val="00267C83"/>
    <w:rsid w:val="002705DE"/>
    <w:rsid w:val="0027144F"/>
    <w:rsid w:val="00271F30"/>
    <w:rsid w:val="00271F3A"/>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D3E"/>
    <w:rsid w:val="002B223F"/>
    <w:rsid w:val="002B24D6"/>
    <w:rsid w:val="002B58CF"/>
    <w:rsid w:val="002B688A"/>
    <w:rsid w:val="002C1899"/>
    <w:rsid w:val="002C18BE"/>
    <w:rsid w:val="002C41E6"/>
    <w:rsid w:val="002C5255"/>
    <w:rsid w:val="002D071A"/>
    <w:rsid w:val="002D34B2"/>
    <w:rsid w:val="002D7637"/>
    <w:rsid w:val="002E17F2"/>
    <w:rsid w:val="002E1DD5"/>
    <w:rsid w:val="002E3EA2"/>
    <w:rsid w:val="002E7CAE"/>
    <w:rsid w:val="002F0BA2"/>
    <w:rsid w:val="002F2734"/>
    <w:rsid w:val="002F2771"/>
    <w:rsid w:val="002F37A9"/>
    <w:rsid w:val="00301CE6"/>
    <w:rsid w:val="00302082"/>
    <w:rsid w:val="003021D5"/>
    <w:rsid w:val="0030256B"/>
    <w:rsid w:val="00303BD7"/>
    <w:rsid w:val="0030435A"/>
    <w:rsid w:val="0030501F"/>
    <w:rsid w:val="003055B1"/>
    <w:rsid w:val="003065F6"/>
    <w:rsid w:val="00307BA1"/>
    <w:rsid w:val="0031041D"/>
    <w:rsid w:val="003108A3"/>
    <w:rsid w:val="003114F4"/>
    <w:rsid w:val="00311702"/>
    <w:rsid w:val="00311E82"/>
    <w:rsid w:val="00311F3F"/>
    <w:rsid w:val="00312FF4"/>
    <w:rsid w:val="00313FD6"/>
    <w:rsid w:val="003143BD"/>
    <w:rsid w:val="003154C4"/>
    <w:rsid w:val="003203ED"/>
    <w:rsid w:val="00320A08"/>
    <w:rsid w:val="003210B4"/>
    <w:rsid w:val="00321307"/>
    <w:rsid w:val="003218B8"/>
    <w:rsid w:val="00322C9F"/>
    <w:rsid w:val="00324D23"/>
    <w:rsid w:val="00330666"/>
    <w:rsid w:val="00331751"/>
    <w:rsid w:val="00332B9F"/>
    <w:rsid w:val="00334579"/>
    <w:rsid w:val="00334AF2"/>
    <w:rsid w:val="00335302"/>
    <w:rsid w:val="00335858"/>
    <w:rsid w:val="00336BDA"/>
    <w:rsid w:val="00336DAC"/>
    <w:rsid w:val="00342BD7"/>
    <w:rsid w:val="00343A07"/>
    <w:rsid w:val="0034475E"/>
    <w:rsid w:val="00346DB5"/>
    <w:rsid w:val="00347296"/>
    <w:rsid w:val="003477B1"/>
    <w:rsid w:val="00350DD4"/>
    <w:rsid w:val="0035482C"/>
    <w:rsid w:val="00356142"/>
    <w:rsid w:val="00357380"/>
    <w:rsid w:val="003602D9"/>
    <w:rsid w:val="003604CE"/>
    <w:rsid w:val="0036137D"/>
    <w:rsid w:val="003617B5"/>
    <w:rsid w:val="00367F1E"/>
    <w:rsid w:val="00370E47"/>
    <w:rsid w:val="00373180"/>
    <w:rsid w:val="003742AC"/>
    <w:rsid w:val="00377CE1"/>
    <w:rsid w:val="003806FB"/>
    <w:rsid w:val="003847D9"/>
    <w:rsid w:val="0038525E"/>
    <w:rsid w:val="00385BF0"/>
    <w:rsid w:val="0039042B"/>
    <w:rsid w:val="00391611"/>
    <w:rsid w:val="003939FF"/>
    <w:rsid w:val="003A2223"/>
    <w:rsid w:val="003A2A0F"/>
    <w:rsid w:val="003A323E"/>
    <w:rsid w:val="003A45A1"/>
    <w:rsid w:val="003A5B0A"/>
    <w:rsid w:val="003A6BAC"/>
    <w:rsid w:val="003A7EF3"/>
    <w:rsid w:val="003B018F"/>
    <w:rsid w:val="003B159C"/>
    <w:rsid w:val="003B369F"/>
    <w:rsid w:val="003B36A3"/>
    <w:rsid w:val="003B46C4"/>
    <w:rsid w:val="003B5DF1"/>
    <w:rsid w:val="003B63AD"/>
    <w:rsid w:val="003B7FE5"/>
    <w:rsid w:val="003C058D"/>
    <w:rsid w:val="003C11C8"/>
    <w:rsid w:val="003C2702"/>
    <w:rsid w:val="003C306E"/>
    <w:rsid w:val="003C5162"/>
    <w:rsid w:val="003C7806"/>
    <w:rsid w:val="003D06C3"/>
    <w:rsid w:val="003D109F"/>
    <w:rsid w:val="003D2477"/>
    <w:rsid w:val="003D2478"/>
    <w:rsid w:val="003D2FC4"/>
    <w:rsid w:val="003D3C45"/>
    <w:rsid w:val="003D5B1F"/>
    <w:rsid w:val="003E15FA"/>
    <w:rsid w:val="003E55E4"/>
    <w:rsid w:val="003E5A09"/>
    <w:rsid w:val="003E74E3"/>
    <w:rsid w:val="003E7B80"/>
    <w:rsid w:val="003F01DB"/>
    <w:rsid w:val="003F05C7"/>
    <w:rsid w:val="003F11B0"/>
    <w:rsid w:val="003F2CD4"/>
    <w:rsid w:val="003F335F"/>
    <w:rsid w:val="003F6074"/>
    <w:rsid w:val="003F6BBE"/>
    <w:rsid w:val="003F6D81"/>
    <w:rsid w:val="004000E8"/>
    <w:rsid w:val="004005C6"/>
    <w:rsid w:val="0040200D"/>
    <w:rsid w:val="0040236A"/>
    <w:rsid w:val="00402B7E"/>
    <w:rsid w:val="00402E2B"/>
    <w:rsid w:val="004047B6"/>
    <w:rsid w:val="0040512B"/>
    <w:rsid w:val="00405CA5"/>
    <w:rsid w:val="00407CD3"/>
    <w:rsid w:val="00410134"/>
    <w:rsid w:val="00410B72"/>
    <w:rsid w:val="00410F18"/>
    <w:rsid w:val="00411A6C"/>
    <w:rsid w:val="0041263E"/>
    <w:rsid w:val="00413AAC"/>
    <w:rsid w:val="004158C2"/>
    <w:rsid w:val="00420897"/>
    <w:rsid w:val="00421092"/>
    <w:rsid w:val="00421105"/>
    <w:rsid w:val="004242F4"/>
    <w:rsid w:val="00427248"/>
    <w:rsid w:val="0043552C"/>
    <w:rsid w:val="00437447"/>
    <w:rsid w:val="00441A92"/>
    <w:rsid w:val="00444F56"/>
    <w:rsid w:val="00446488"/>
    <w:rsid w:val="00447041"/>
    <w:rsid w:val="00450478"/>
    <w:rsid w:val="004517AA"/>
    <w:rsid w:val="00452041"/>
    <w:rsid w:val="00452CAC"/>
    <w:rsid w:val="00453D57"/>
    <w:rsid w:val="00455AD1"/>
    <w:rsid w:val="00457565"/>
    <w:rsid w:val="00457B71"/>
    <w:rsid w:val="004603F5"/>
    <w:rsid w:val="00463D0E"/>
    <w:rsid w:val="00465F3A"/>
    <w:rsid w:val="004669E2"/>
    <w:rsid w:val="00466B5E"/>
    <w:rsid w:val="00470C31"/>
    <w:rsid w:val="0047217C"/>
    <w:rsid w:val="004734D0"/>
    <w:rsid w:val="0047556B"/>
    <w:rsid w:val="00477768"/>
    <w:rsid w:val="00483877"/>
    <w:rsid w:val="00485A23"/>
    <w:rsid w:val="0048677A"/>
    <w:rsid w:val="00492BC5"/>
    <w:rsid w:val="004964F1"/>
    <w:rsid w:val="004A0199"/>
    <w:rsid w:val="004A07A0"/>
    <w:rsid w:val="004A16BC"/>
    <w:rsid w:val="004A2B94"/>
    <w:rsid w:val="004A7A8C"/>
    <w:rsid w:val="004B7C0C"/>
    <w:rsid w:val="004C1B75"/>
    <w:rsid w:val="004C2F28"/>
    <w:rsid w:val="004C3898"/>
    <w:rsid w:val="004C41AE"/>
    <w:rsid w:val="004C5FD8"/>
    <w:rsid w:val="004D0D88"/>
    <w:rsid w:val="004D36B1"/>
    <w:rsid w:val="004D6406"/>
    <w:rsid w:val="004D7EBD"/>
    <w:rsid w:val="004E0E34"/>
    <w:rsid w:val="004E1E19"/>
    <w:rsid w:val="004E2680"/>
    <w:rsid w:val="004E28F9"/>
    <w:rsid w:val="004E462E"/>
    <w:rsid w:val="004E56DC"/>
    <w:rsid w:val="004E7134"/>
    <w:rsid w:val="004E76F4"/>
    <w:rsid w:val="004F0B4E"/>
    <w:rsid w:val="004F0B6C"/>
    <w:rsid w:val="004F2078"/>
    <w:rsid w:val="004F4DA3"/>
    <w:rsid w:val="004F62A7"/>
    <w:rsid w:val="00502281"/>
    <w:rsid w:val="005032AF"/>
    <w:rsid w:val="00504BC8"/>
    <w:rsid w:val="00506557"/>
    <w:rsid w:val="0050677A"/>
    <w:rsid w:val="005108D8"/>
    <w:rsid w:val="005116F9"/>
    <w:rsid w:val="0051402C"/>
    <w:rsid w:val="005141BC"/>
    <w:rsid w:val="00514F48"/>
    <w:rsid w:val="005153A7"/>
    <w:rsid w:val="00517DC6"/>
    <w:rsid w:val="005205AF"/>
    <w:rsid w:val="005219CF"/>
    <w:rsid w:val="00523E13"/>
    <w:rsid w:val="00523EA0"/>
    <w:rsid w:val="0052428F"/>
    <w:rsid w:val="00524688"/>
    <w:rsid w:val="00525A3D"/>
    <w:rsid w:val="00534B59"/>
    <w:rsid w:val="00536556"/>
    <w:rsid w:val="00536759"/>
    <w:rsid w:val="00536B1A"/>
    <w:rsid w:val="00537C62"/>
    <w:rsid w:val="00546970"/>
    <w:rsid w:val="00547AAB"/>
    <w:rsid w:val="005501C2"/>
    <w:rsid w:val="00551BA0"/>
    <w:rsid w:val="00554E19"/>
    <w:rsid w:val="0055635A"/>
    <w:rsid w:val="0055719E"/>
    <w:rsid w:val="0056121F"/>
    <w:rsid w:val="00563637"/>
    <w:rsid w:val="00572505"/>
    <w:rsid w:val="00581993"/>
    <w:rsid w:val="00582809"/>
    <w:rsid w:val="0058318F"/>
    <w:rsid w:val="0058342B"/>
    <w:rsid w:val="00586998"/>
    <w:rsid w:val="0058798C"/>
    <w:rsid w:val="005900FA"/>
    <w:rsid w:val="005935A4"/>
    <w:rsid w:val="005948C2"/>
    <w:rsid w:val="005949E6"/>
    <w:rsid w:val="00595DCA"/>
    <w:rsid w:val="0059779B"/>
    <w:rsid w:val="005A209A"/>
    <w:rsid w:val="005A2C57"/>
    <w:rsid w:val="005A561A"/>
    <w:rsid w:val="005A662D"/>
    <w:rsid w:val="005A77B9"/>
    <w:rsid w:val="005B35D7"/>
    <w:rsid w:val="005B392A"/>
    <w:rsid w:val="005B3AA3"/>
    <w:rsid w:val="005B6F83"/>
    <w:rsid w:val="005C1BA7"/>
    <w:rsid w:val="005C74FB"/>
    <w:rsid w:val="005D0DA0"/>
    <w:rsid w:val="005D1602"/>
    <w:rsid w:val="005D264B"/>
    <w:rsid w:val="005D5B80"/>
    <w:rsid w:val="005D79B3"/>
    <w:rsid w:val="005E2BAF"/>
    <w:rsid w:val="005E385F"/>
    <w:rsid w:val="005E3B53"/>
    <w:rsid w:val="005E5B81"/>
    <w:rsid w:val="005E6827"/>
    <w:rsid w:val="005F0C93"/>
    <w:rsid w:val="005F2CB1"/>
    <w:rsid w:val="005F3025"/>
    <w:rsid w:val="005F34FB"/>
    <w:rsid w:val="005F43FA"/>
    <w:rsid w:val="005F618C"/>
    <w:rsid w:val="005F70BD"/>
    <w:rsid w:val="00601AF0"/>
    <w:rsid w:val="0060283C"/>
    <w:rsid w:val="0060316E"/>
    <w:rsid w:val="00604D02"/>
    <w:rsid w:val="00604F14"/>
    <w:rsid w:val="00605F62"/>
    <w:rsid w:val="00611B83"/>
    <w:rsid w:val="006124BC"/>
    <w:rsid w:val="00613257"/>
    <w:rsid w:val="00615D19"/>
    <w:rsid w:val="0061724A"/>
    <w:rsid w:val="00617A18"/>
    <w:rsid w:val="00617CAF"/>
    <w:rsid w:val="00620A4D"/>
    <w:rsid w:val="00620A71"/>
    <w:rsid w:val="00620D80"/>
    <w:rsid w:val="00621894"/>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1DBE"/>
    <w:rsid w:val="0064208D"/>
    <w:rsid w:val="006425C6"/>
    <w:rsid w:val="00642F04"/>
    <w:rsid w:val="00643475"/>
    <w:rsid w:val="0064396A"/>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77"/>
    <w:rsid w:val="00670BE1"/>
    <w:rsid w:val="0067218F"/>
    <w:rsid w:val="00673A0C"/>
    <w:rsid w:val="006741F2"/>
    <w:rsid w:val="00674A25"/>
    <w:rsid w:val="00674CC3"/>
    <w:rsid w:val="00675C72"/>
    <w:rsid w:val="00675F65"/>
    <w:rsid w:val="0067694A"/>
    <w:rsid w:val="006771F9"/>
    <w:rsid w:val="006776D7"/>
    <w:rsid w:val="00681003"/>
    <w:rsid w:val="006817C9"/>
    <w:rsid w:val="006819E2"/>
    <w:rsid w:val="00681CA8"/>
    <w:rsid w:val="00683ECE"/>
    <w:rsid w:val="0069133C"/>
    <w:rsid w:val="0069297C"/>
    <w:rsid w:val="00692D32"/>
    <w:rsid w:val="00693277"/>
    <w:rsid w:val="006938BB"/>
    <w:rsid w:val="0069446E"/>
    <w:rsid w:val="006952D7"/>
    <w:rsid w:val="00695FC2"/>
    <w:rsid w:val="00696949"/>
    <w:rsid w:val="00697052"/>
    <w:rsid w:val="006A1E71"/>
    <w:rsid w:val="006A3D3F"/>
    <w:rsid w:val="006A46FB"/>
    <w:rsid w:val="006A5E28"/>
    <w:rsid w:val="006A697B"/>
    <w:rsid w:val="006A7AFF"/>
    <w:rsid w:val="006B1816"/>
    <w:rsid w:val="006B2099"/>
    <w:rsid w:val="006B39F6"/>
    <w:rsid w:val="006B50CF"/>
    <w:rsid w:val="006B5676"/>
    <w:rsid w:val="006C03B8"/>
    <w:rsid w:val="006C28AA"/>
    <w:rsid w:val="006C5EC9"/>
    <w:rsid w:val="006C6059"/>
    <w:rsid w:val="006C7391"/>
    <w:rsid w:val="006C7522"/>
    <w:rsid w:val="006D2454"/>
    <w:rsid w:val="006D4F19"/>
    <w:rsid w:val="006D5A51"/>
    <w:rsid w:val="006D6C93"/>
    <w:rsid w:val="006D6F08"/>
    <w:rsid w:val="006E062C"/>
    <w:rsid w:val="006E28B7"/>
    <w:rsid w:val="006E3310"/>
    <w:rsid w:val="006E4E39"/>
    <w:rsid w:val="006E565E"/>
    <w:rsid w:val="006E673D"/>
    <w:rsid w:val="006E7D3B"/>
    <w:rsid w:val="006F1B70"/>
    <w:rsid w:val="006F341D"/>
    <w:rsid w:val="006F3CDE"/>
    <w:rsid w:val="006F58D4"/>
    <w:rsid w:val="006F6305"/>
    <w:rsid w:val="006F6E88"/>
    <w:rsid w:val="007032B8"/>
    <w:rsid w:val="0070346E"/>
    <w:rsid w:val="00704873"/>
    <w:rsid w:val="00704EDB"/>
    <w:rsid w:val="0070537F"/>
    <w:rsid w:val="00706101"/>
    <w:rsid w:val="00707072"/>
    <w:rsid w:val="007075A7"/>
    <w:rsid w:val="00707D61"/>
    <w:rsid w:val="00711C83"/>
    <w:rsid w:val="00712287"/>
    <w:rsid w:val="00712772"/>
    <w:rsid w:val="0071279E"/>
    <w:rsid w:val="007148D3"/>
    <w:rsid w:val="00715648"/>
    <w:rsid w:val="00715B9A"/>
    <w:rsid w:val="00715DF1"/>
    <w:rsid w:val="00716791"/>
    <w:rsid w:val="00721593"/>
    <w:rsid w:val="0072595C"/>
    <w:rsid w:val="00726EA6"/>
    <w:rsid w:val="00727208"/>
    <w:rsid w:val="00727680"/>
    <w:rsid w:val="00727F0A"/>
    <w:rsid w:val="00727F9E"/>
    <w:rsid w:val="007347EE"/>
    <w:rsid w:val="007348B1"/>
    <w:rsid w:val="00734B23"/>
    <w:rsid w:val="007362A6"/>
    <w:rsid w:val="00736D7D"/>
    <w:rsid w:val="00737922"/>
    <w:rsid w:val="00740E58"/>
    <w:rsid w:val="007445A0"/>
    <w:rsid w:val="0074524B"/>
    <w:rsid w:val="007467F7"/>
    <w:rsid w:val="00747D8B"/>
    <w:rsid w:val="00751228"/>
    <w:rsid w:val="00751613"/>
    <w:rsid w:val="00752C9C"/>
    <w:rsid w:val="00755CB6"/>
    <w:rsid w:val="007560C0"/>
    <w:rsid w:val="0075684B"/>
    <w:rsid w:val="007571E1"/>
    <w:rsid w:val="007604B2"/>
    <w:rsid w:val="007607BB"/>
    <w:rsid w:val="00765281"/>
    <w:rsid w:val="00765A27"/>
    <w:rsid w:val="00766BAD"/>
    <w:rsid w:val="00771018"/>
    <w:rsid w:val="007730BD"/>
    <w:rsid w:val="007755F2"/>
    <w:rsid w:val="00776971"/>
    <w:rsid w:val="0078177E"/>
    <w:rsid w:val="0078304C"/>
    <w:rsid w:val="00783673"/>
    <w:rsid w:val="00784706"/>
    <w:rsid w:val="00785490"/>
    <w:rsid w:val="0078648D"/>
    <w:rsid w:val="00787795"/>
    <w:rsid w:val="007925EA"/>
    <w:rsid w:val="00793CD8"/>
    <w:rsid w:val="00794D9C"/>
    <w:rsid w:val="00795C38"/>
    <w:rsid w:val="00795C92"/>
    <w:rsid w:val="00796231"/>
    <w:rsid w:val="007A164C"/>
    <w:rsid w:val="007A19AC"/>
    <w:rsid w:val="007A1CB3"/>
    <w:rsid w:val="007A306F"/>
    <w:rsid w:val="007A308A"/>
    <w:rsid w:val="007A43A6"/>
    <w:rsid w:val="007A58A6"/>
    <w:rsid w:val="007A6C02"/>
    <w:rsid w:val="007A737E"/>
    <w:rsid w:val="007B1DBB"/>
    <w:rsid w:val="007B3D2D"/>
    <w:rsid w:val="007B50AE"/>
    <w:rsid w:val="007B51DF"/>
    <w:rsid w:val="007B5600"/>
    <w:rsid w:val="007B58A5"/>
    <w:rsid w:val="007B5EB3"/>
    <w:rsid w:val="007B7232"/>
    <w:rsid w:val="007B733D"/>
    <w:rsid w:val="007C05DD"/>
    <w:rsid w:val="007C11F0"/>
    <w:rsid w:val="007C2287"/>
    <w:rsid w:val="007C3D18"/>
    <w:rsid w:val="007C60BF"/>
    <w:rsid w:val="007C6A07"/>
    <w:rsid w:val="007C73D5"/>
    <w:rsid w:val="007C75A1"/>
    <w:rsid w:val="007C77A5"/>
    <w:rsid w:val="007D04E5"/>
    <w:rsid w:val="007D103D"/>
    <w:rsid w:val="007D5901"/>
    <w:rsid w:val="007D7526"/>
    <w:rsid w:val="007E0E28"/>
    <w:rsid w:val="007E0F30"/>
    <w:rsid w:val="007E1D21"/>
    <w:rsid w:val="007E4610"/>
    <w:rsid w:val="007E4715"/>
    <w:rsid w:val="007E505B"/>
    <w:rsid w:val="007E7091"/>
    <w:rsid w:val="007F3049"/>
    <w:rsid w:val="00803FAE"/>
    <w:rsid w:val="0080605F"/>
    <w:rsid w:val="00807786"/>
    <w:rsid w:val="00811FCB"/>
    <w:rsid w:val="008158D6"/>
    <w:rsid w:val="008170C5"/>
    <w:rsid w:val="00817196"/>
    <w:rsid w:val="00820808"/>
    <w:rsid w:val="00822D90"/>
    <w:rsid w:val="008235DB"/>
    <w:rsid w:val="008248BD"/>
    <w:rsid w:val="00824A6E"/>
    <w:rsid w:val="00824AB4"/>
    <w:rsid w:val="00825C42"/>
    <w:rsid w:val="00825D25"/>
    <w:rsid w:val="00827D6F"/>
    <w:rsid w:val="0083360E"/>
    <w:rsid w:val="008376AC"/>
    <w:rsid w:val="008444E8"/>
    <w:rsid w:val="00844E80"/>
    <w:rsid w:val="00846FE7"/>
    <w:rsid w:val="008472AC"/>
    <w:rsid w:val="00850CEC"/>
    <w:rsid w:val="00853876"/>
    <w:rsid w:val="00856911"/>
    <w:rsid w:val="00860BEB"/>
    <w:rsid w:val="0086615C"/>
    <w:rsid w:val="008677FD"/>
    <w:rsid w:val="008706D4"/>
    <w:rsid w:val="00870F8A"/>
    <w:rsid w:val="008719A4"/>
    <w:rsid w:val="00871D23"/>
    <w:rsid w:val="00874312"/>
    <w:rsid w:val="0087437C"/>
    <w:rsid w:val="00875CD7"/>
    <w:rsid w:val="008760E0"/>
    <w:rsid w:val="00876B4D"/>
    <w:rsid w:val="00877F18"/>
    <w:rsid w:val="00886653"/>
    <w:rsid w:val="00894A88"/>
    <w:rsid w:val="008952BD"/>
    <w:rsid w:val="00895386"/>
    <w:rsid w:val="008A1585"/>
    <w:rsid w:val="008A21FF"/>
    <w:rsid w:val="008A2CE2"/>
    <w:rsid w:val="008A2DA6"/>
    <w:rsid w:val="008A30AC"/>
    <w:rsid w:val="008A3391"/>
    <w:rsid w:val="008A401F"/>
    <w:rsid w:val="008A44B8"/>
    <w:rsid w:val="008A4BB0"/>
    <w:rsid w:val="008A51A8"/>
    <w:rsid w:val="008A54C7"/>
    <w:rsid w:val="008A5729"/>
    <w:rsid w:val="008A77D8"/>
    <w:rsid w:val="008A7912"/>
    <w:rsid w:val="008B0483"/>
    <w:rsid w:val="008B099F"/>
    <w:rsid w:val="008B120C"/>
    <w:rsid w:val="008B5104"/>
    <w:rsid w:val="008B51A0"/>
    <w:rsid w:val="008B5648"/>
    <w:rsid w:val="008B592A"/>
    <w:rsid w:val="008B6D83"/>
    <w:rsid w:val="008B7B5C"/>
    <w:rsid w:val="008B7C06"/>
    <w:rsid w:val="008C0716"/>
    <w:rsid w:val="008C0C99"/>
    <w:rsid w:val="008C2017"/>
    <w:rsid w:val="008C394C"/>
    <w:rsid w:val="008C4958"/>
    <w:rsid w:val="008C4BAA"/>
    <w:rsid w:val="008C6AE8"/>
    <w:rsid w:val="008C7573"/>
    <w:rsid w:val="008D34F1"/>
    <w:rsid w:val="008D39D8"/>
    <w:rsid w:val="008D6D1A"/>
    <w:rsid w:val="008D7FD9"/>
    <w:rsid w:val="008E065E"/>
    <w:rsid w:val="008E0927"/>
    <w:rsid w:val="008E1909"/>
    <w:rsid w:val="008E1A58"/>
    <w:rsid w:val="008E3313"/>
    <w:rsid w:val="008E408A"/>
    <w:rsid w:val="008E5C9C"/>
    <w:rsid w:val="008E6846"/>
    <w:rsid w:val="008F0AE4"/>
    <w:rsid w:val="008F169D"/>
    <w:rsid w:val="008F1EAB"/>
    <w:rsid w:val="008F33DC"/>
    <w:rsid w:val="008F477F"/>
    <w:rsid w:val="008F7ADA"/>
    <w:rsid w:val="009020BE"/>
    <w:rsid w:val="00902350"/>
    <w:rsid w:val="0090336B"/>
    <w:rsid w:val="00903AF6"/>
    <w:rsid w:val="00904ADD"/>
    <w:rsid w:val="009053AA"/>
    <w:rsid w:val="00905EB9"/>
    <w:rsid w:val="0090659A"/>
    <w:rsid w:val="00906939"/>
    <w:rsid w:val="00910B7D"/>
    <w:rsid w:val="00911DFB"/>
    <w:rsid w:val="009139D9"/>
    <w:rsid w:val="00913AFB"/>
    <w:rsid w:val="00913B51"/>
    <w:rsid w:val="00914AD8"/>
    <w:rsid w:val="00914D69"/>
    <w:rsid w:val="00916079"/>
    <w:rsid w:val="009161BE"/>
    <w:rsid w:val="00917CE9"/>
    <w:rsid w:val="00920BF2"/>
    <w:rsid w:val="0092174D"/>
    <w:rsid w:val="00921DD2"/>
    <w:rsid w:val="00922010"/>
    <w:rsid w:val="00927BC5"/>
    <w:rsid w:val="009314D5"/>
    <w:rsid w:val="00931BD9"/>
    <w:rsid w:val="00932CDA"/>
    <w:rsid w:val="0093322C"/>
    <w:rsid w:val="009368F3"/>
    <w:rsid w:val="00941636"/>
    <w:rsid w:val="00943742"/>
    <w:rsid w:val="00945C05"/>
    <w:rsid w:val="00946945"/>
    <w:rsid w:val="00947713"/>
    <w:rsid w:val="00950DE7"/>
    <w:rsid w:val="00951030"/>
    <w:rsid w:val="00953920"/>
    <w:rsid w:val="00953D47"/>
    <w:rsid w:val="0095681E"/>
    <w:rsid w:val="009572D4"/>
    <w:rsid w:val="009615CA"/>
    <w:rsid w:val="00961921"/>
    <w:rsid w:val="00961B10"/>
    <w:rsid w:val="0096430A"/>
    <w:rsid w:val="0096554B"/>
    <w:rsid w:val="0096584A"/>
    <w:rsid w:val="00967F8A"/>
    <w:rsid w:val="00971F08"/>
    <w:rsid w:val="009722B2"/>
    <w:rsid w:val="00972FEB"/>
    <w:rsid w:val="009744B7"/>
    <w:rsid w:val="00975B76"/>
    <w:rsid w:val="0097603D"/>
    <w:rsid w:val="00976949"/>
    <w:rsid w:val="00980477"/>
    <w:rsid w:val="00980E0D"/>
    <w:rsid w:val="00981A97"/>
    <w:rsid w:val="009823E9"/>
    <w:rsid w:val="00985253"/>
    <w:rsid w:val="00985302"/>
    <w:rsid w:val="009853B3"/>
    <w:rsid w:val="009861A6"/>
    <w:rsid w:val="00990630"/>
    <w:rsid w:val="00990A30"/>
    <w:rsid w:val="00991761"/>
    <w:rsid w:val="00994DCA"/>
    <w:rsid w:val="009960EC"/>
    <w:rsid w:val="009970DD"/>
    <w:rsid w:val="009A024F"/>
    <w:rsid w:val="009A0FBA"/>
    <w:rsid w:val="009A1601"/>
    <w:rsid w:val="009A2131"/>
    <w:rsid w:val="009A462D"/>
    <w:rsid w:val="009A5CBA"/>
    <w:rsid w:val="009A746E"/>
    <w:rsid w:val="009A7536"/>
    <w:rsid w:val="009A79F8"/>
    <w:rsid w:val="009B1F30"/>
    <w:rsid w:val="009B3AC2"/>
    <w:rsid w:val="009B4DF4"/>
    <w:rsid w:val="009B564E"/>
    <w:rsid w:val="009B795C"/>
    <w:rsid w:val="009B7E87"/>
    <w:rsid w:val="009C1020"/>
    <w:rsid w:val="009C1C50"/>
    <w:rsid w:val="009C2637"/>
    <w:rsid w:val="009C2CDC"/>
    <w:rsid w:val="009C403E"/>
    <w:rsid w:val="009D0C02"/>
    <w:rsid w:val="009D1FE8"/>
    <w:rsid w:val="009D2AD4"/>
    <w:rsid w:val="009D2B94"/>
    <w:rsid w:val="009D4FF0"/>
    <w:rsid w:val="009D703C"/>
    <w:rsid w:val="009D718F"/>
    <w:rsid w:val="009E0581"/>
    <w:rsid w:val="009E068F"/>
    <w:rsid w:val="009E14E0"/>
    <w:rsid w:val="009E1BCE"/>
    <w:rsid w:val="009E1C05"/>
    <w:rsid w:val="009E35DB"/>
    <w:rsid w:val="009E37F1"/>
    <w:rsid w:val="009E47A3"/>
    <w:rsid w:val="009E67CE"/>
    <w:rsid w:val="009F08F3"/>
    <w:rsid w:val="009F344F"/>
    <w:rsid w:val="009F4FB7"/>
    <w:rsid w:val="00A048A8"/>
    <w:rsid w:val="00A04F49"/>
    <w:rsid w:val="00A078FE"/>
    <w:rsid w:val="00A0792F"/>
    <w:rsid w:val="00A13E54"/>
    <w:rsid w:val="00A14B31"/>
    <w:rsid w:val="00A15DFC"/>
    <w:rsid w:val="00A17094"/>
    <w:rsid w:val="00A176D6"/>
    <w:rsid w:val="00A17F63"/>
    <w:rsid w:val="00A2193B"/>
    <w:rsid w:val="00A2351A"/>
    <w:rsid w:val="00A264A9"/>
    <w:rsid w:val="00A26831"/>
    <w:rsid w:val="00A27785"/>
    <w:rsid w:val="00A27D2E"/>
    <w:rsid w:val="00A30187"/>
    <w:rsid w:val="00A30A42"/>
    <w:rsid w:val="00A3448A"/>
    <w:rsid w:val="00A34CCD"/>
    <w:rsid w:val="00A34E03"/>
    <w:rsid w:val="00A36297"/>
    <w:rsid w:val="00A41E2B"/>
    <w:rsid w:val="00A425C2"/>
    <w:rsid w:val="00A45B74"/>
    <w:rsid w:val="00A503B4"/>
    <w:rsid w:val="00A52E1D"/>
    <w:rsid w:val="00A53C00"/>
    <w:rsid w:val="00A57130"/>
    <w:rsid w:val="00A61499"/>
    <w:rsid w:val="00A618AC"/>
    <w:rsid w:val="00A62A77"/>
    <w:rsid w:val="00A63483"/>
    <w:rsid w:val="00A63D6A"/>
    <w:rsid w:val="00A643B0"/>
    <w:rsid w:val="00A657D7"/>
    <w:rsid w:val="00A660AC"/>
    <w:rsid w:val="00A66C51"/>
    <w:rsid w:val="00A679D4"/>
    <w:rsid w:val="00A67E6C"/>
    <w:rsid w:val="00A71B99"/>
    <w:rsid w:val="00A739D0"/>
    <w:rsid w:val="00A74DE2"/>
    <w:rsid w:val="00A761D4"/>
    <w:rsid w:val="00A76342"/>
    <w:rsid w:val="00A76977"/>
    <w:rsid w:val="00A77EC4"/>
    <w:rsid w:val="00A81D38"/>
    <w:rsid w:val="00A87C47"/>
    <w:rsid w:val="00A91DB6"/>
    <w:rsid w:val="00A92879"/>
    <w:rsid w:val="00A93964"/>
    <w:rsid w:val="00A9427A"/>
    <w:rsid w:val="00A9442A"/>
    <w:rsid w:val="00A969C6"/>
    <w:rsid w:val="00AA0139"/>
    <w:rsid w:val="00AA016F"/>
    <w:rsid w:val="00AA064C"/>
    <w:rsid w:val="00AA1ED6"/>
    <w:rsid w:val="00AA377D"/>
    <w:rsid w:val="00AA5028"/>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214"/>
    <w:rsid w:val="00AC55DA"/>
    <w:rsid w:val="00AC5A10"/>
    <w:rsid w:val="00AC5FFA"/>
    <w:rsid w:val="00AC618C"/>
    <w:rsid w:val="00AC635E"/>
    <w:rsid w:val="00AD0AA3"/>
    <w:rsid w:val="00AD0C26"/>
    <w:rsid w:val="00AD1211"/>
    <w:rsid w:val="00AD186D"/>
    <w:rsid w:val="00AD2920"/>
    <w:rsid w:val="00AD3F94"/>
    <w:rsid w:val="00AD4A5A"/>
    <w:rsid w:val="00AD4FC0"/>
    <w:rsid w:val="00AD5BC5"/>
    <w:rsid w:val="00AE2157"/>
    <w:rsid w:val="00AE27AC"/>
    <w:rsid w:val="00AE40E0"/>
    <w:rsid w:val="00AE4C61"/>
    <w:rsid w:val="00AE4DBA"/>
    <w:rsid w:val="00AE4F07"/>
    <w:rsid w:val="00AE6213"/>
    <w:rsid w:val="00AE69FE"/>
    <w:rsid w:val="00AF1C5D"/>
    <w:rsid w:val="00AF2601"/>
    <w:rsid w:val="00AF42D7"/>
    <w:rsid w:val="00B006FE"/>
    <w:rsid w:val="00B007CB"/>
    <w:rsid w:val="00B02AA9"/>
    <w:rsid w:val="00B02FA3"/>
    <w:rsid w:val="00B04413"/>
    <w:rsid w:val="00B05084"/>
    <w:rsid w:val="00B06CB4"/>
    <w:rsid w:val="00B13A6C"/>
    <w:rsid w:val="00B157F9"/>
    <w:rsid w:val="00B167F1"/>
    <w:rsid w:val="00B170AB"/>
    <w:rsid w:val="00B20256"/>
    <w:rsid w:val="00B20D09"/>
    <w:rsid w:val="00B215DE"/>
    <w:rsid w:val="00B24EFD"/>
    <w:rsid w:val="00B250A3"/>
    <w:rsid w:val="00B2763F"/>
    <w:rsid w:val="00B27AAC"/>
    <w:rsid w:val="00B30929"/>
    <w:rsid w:val="00B3301E"/>
    <w:rsid w:val="00B336C6"/>
    <w:rsid w:val="00B372AA"/>
    <w:rsid w:val="00B40445"/>
    <w:rsid w:val="00B41888"/>
    <w:rsid w:val="00B44014"/>
    <w:rsid w:val="00B45A52"/>
    <w:rsid w:val="00B46175"/>
    <w:rsid w:val="00B51CCA"/>
    <w:rsid w:val="00B539DC"/>
    <w:rsid w:val="00B545C2"/>
    <w:rsid w:val="00B549D6"/>
    <w:rsid w:val="00B55B50"/>
    <w:rsid w:val="00B57A4B"/>
    <w:rsid w:val="00B6045F"/>
    <w:rsid w:val="00B61B86"/>
    <w:rsid w:val="00B62AAA"/>
    <w:rsid w:val="00B63971"/>
    <w:rsid w:val="00B664C7"/>
    <w:rsid w:val="00B66689"/>
    <w:rsid w:val="00B70298"/>
    <w:rsid w:val="00B7155D"/>
    <w:rsid w:val="00B739F6"/>
    <w:rsid w:val="00B756D5"/>
    <w:rsid w:val="00B76088"/>
    <w:rsid w:val="00B81A6C"/>
    <w:rsid w:val="00B8293B"/>
    <w:rsid w:val="00B8301C"/>
    <w:rsid w:val="00B85DE5"/>
    <w:rsid w:val="00B87CD8"/>
    <w:rsid w:val="00B90F73"/>
    <w:rsid w:val="00B93B59"/>
    <w:rsid w:val="00B9406A"/>
    <w:rsid w:val="00BA2280"/>
    <w:rsid w:val="00BA2A08"/>
    <w:rsid w:val="00BA56D2"/>
    <w:rsid w:val="00BA76E0"/>
    <w:rsid w:val="00BB1BEB"/>
    <w:rsid w:val="00BB2A25"/>
    <w:rsid w:val="00BB362F"/>
    <w:rsid w:val="00BB4C80"/>
    <w:rsid w:val="00BB51E9"/>
    <w:rsid w:val="00BB735F"/>
    <w:rsid w:val="00BC0FDC"/>
    <w:rsid w:val="00BC2B4A"/>
    <w:rsid w:val="00BC3053"/>
    <w:rsid w:val="00BC4D2E"/>
    <w:rsid w:val="00BD0701"/>
    <w:rsid w:val="00BD2A1D"/>
    <w:rsid w:val="00BD48AC"/>
    <w:rsid w:val="00BD5F1A"/>
    <w:rsid w:val="00BD6748"/>
    <w:rsid w:val="00BE1234"/>
    <w:rsid w:val="00BE148F"/>
    <w:rsid w:val="00BE2FA6"/>
    <w:rsid w:val="00BE333F"/>
    <w:rsid w:val="00BE7406"/>
    <w:rsid w:val="00BE7603"/>
    <w:rsid w:val="00BF186A"/>
    <w:rsid w:val="00BF3279"/>
    <w:rsid w:val="00BF4DAC"/>
    <w:rsid w:val="00BF6459"/>
    <w:rsid w:val="00BF74C7"/>
    <w:rsid w:val="00BF7CD8"/>
    <w:rsid w:val="00C015F1"/>
    <w:rsid w:val="00C019FE"/>
    <w:rsid w:val="00C01C3D"/>
    <w:rsid w:val="00C01F33"/>
    <w:rsid w:val="00C02700"/>
    <w:rsid w:val="00C02CC6"/>
    <w:rsid w:val="00C040F7"/>
    <w:rsid w:val="00C041B0"/>
    <w:rsid w:val="00C044AB"/>
    <w:rsid w:val="00C05706"/>
    <w:rsid w:val="00C07377"/>
    <w:rsid w:val="00C07B9A"/>
    <w:rsid w:val="00C10478"/>
    <w:rsid w:val="00C12107"/>
    <w:rsid w:val="00C145D3"/>
    <w:rsid w:val="00C14D4B"/>
    <w:rsid w:val="00C154BB"/>
    <w:rsid w:val="00C17D64"/>
    <w:rsid w:val="00C17D85"/>
    <w:rsid w:val="00C20AB5"/>
    <w:rsid w:val="00C21B15"/>
    <w:rsid w:val="00C279B5"/>
    <w:rsid w:val="00C27C45"/>
    <w:rsid w:val="00C31964"/>
    <w:rsid w:val="00C34FE8"/>
    <w:rsid w:val="00C3719D"/>
    <w:rsid w:val="00C462EC"/>
    <w:rsid w:val="00C47863"/>
    <w:rsid w:val="00C543E6"/>
    <w:rsid w:val="00C54995"/>
    <w:rsid w:val="00C54D41"/>
    <w:rsid w:val="00C60783"/>
    <w:rsid w:val="00C6205B"/>
    <w:rsid w:val="00C64672"/>
    <w:rsid w:val="00C70697"/>
    <w:rsid w:val="00C711E3"/>
    <w:rsid w:val="00C715D4"/>
    <w:rsid w:val="00C72EF4"/>
    <w:rsid w:val="00C73182"/>
    <w:rsid w:val="00C75D2F"/>
    <w:rsid w:val="00C767BE"/>
    <w:rsid w:val="00C76963"/>
    <w:rsid w:val="00C76C63"/>
    <w:rsid w:val="00C76E3C"/>
    <w:rsid w:val="00C80623"/>
    <w:rsid w:val="00C81568"/>
    <w:rsid w:val="00C81E56"/>
    <w:rsid w:val="00C85664"/>
    <w:rsid w:val="00C859BE"/>
    <w:rsid w:val="00C9027A"/>
    <w:rsid w:val="00C9068E"/>
    <w:rsid w:val="00C91713"/>
    <w:rsid w:val="00C91811"/>
    <w:rsid w:val="00C91A48"/>
    <w:rsid w:val="00C93C4B"/>
    <w:rsid w:val="00C944AB"/>
    <w:rsid w:val="00C9566F"/>
    <w:rsid w:val="00C95B40"/>
    <w:rsid w:val="00CA1B6B"/>
    <w:rsid w:val="00CA1ED8"/>
    <w:rsid w:val="00CA2558"/>
    <w:rsid w:val="00CA2A26"/>
    <w:rsid w:val="00CA330C"/>
    <w:rsid w:val="00CA3F64"/>
    <w:rsid w:val="00CB1F63"/>
    <w:rsid w:val="00CB27CF"/>
    <w:rsid w:val="00CB6D35"/>
    <w:rsid w:val="00CB7170"/>
    <w:rsid w:val="00CC040E"/>
    <w:rsid w:val="00CC111F"/>
    <w:rsid w:val="00CC15C8"/>
    <w:rsid w:val="00CC2011"/>
    <w:rsid w:val="00CC3EA0"/>
    <w:rsid w:val="00CC7B45"/>
    <w:rsid w:val="00CD1188"/>
    <w:rsid w:val="00CD2ED1"/>
    <w:rsid w:val="00CD2F79"/>
    <w:rsid w:val="00CD337B"/>
    <w:rsid w:val="00CE0424"/>
    <w:rsid w:val="00CE089F"/>
    <w:rsid w:val="00CE1765"/>
    <w:rsid w:val="00CE7561"/>
    <w:rsid w:val="00CE7603"/>
    <w:rsid w:val="00CF1354"/>
    <w:rsid w:val="00CF3B1F"/>
    <w:rsid w:val="00CF3BF6"/>
    <w:rsid w:val="00CF625B"/>
    <w:rsid w:val="00CF687E"/>
    <w:rsid w:val="00CF7FF6"/>
    <w:rsid w:val="00D0349B"/>
    <w:rsid w:val="00D04434"/>
    <w:rsid w:val="00D04FDB"/>
    <w:rsid w:val="00D060F6"/>
    <w:rsid w:val="00D06119"/>
    <w:rsid w:val="00D10249"/>
    <w:rsid w:val="00D115C3"/>
    <w:rsid w:val="00D11897"/>
    <w:rsid w:val="00D1241A"/>
    <w:rsid w:val="00D12E15"/>
    <w:rsid w:val="00D130C0"/>
    <w:rsid w:val="00D13135"/>
    <w:rsid w:val="00D13E4E"/>
    <w:rsid w:val="00D2214C"/>
    <w:rsid w:val="00D239A7"/>
    <w:rsid w:val="00D23F47"/>
    <w:rsid w:val="00D247FF"/>
    <w:rsid w:val="00D27CC3"/>
    <w:rsid w:val="00D3005B"/>
    <w:rsid w:val="00D309A7"/>
    <w:rsid w:val="00D3176C"/>
    <w:rsid w:val="00D31F48"/>
    <w:rsid w:val="00D338BD"/>
    <w:rsid w:val="00D3470E"/>
    <w:rsid w:val="00D35423"/>
    <w:rsid w:val="00D36E71"/>
    <w:rsid w:val="00D37D87"/>
    <w:rsid w:val="00D40B33"/>
    <w:rsid w:val="00D419E4"/>
    <w:rsid w:val="00D4318F"/>
    <w:rsid w:val="00D438BF"/>
    <w:rsid w:val="00D440F8"/>
    <w:rsid w:val="00D44BA8"/>
    <w:rsid w:val="00D457DE"/>
    <w:rsid w:val="00D47081"/>
    <w:rsid w:val="00D53C34"/>
    <w:rsid w:val="00D546FF"/>
    <w:rsid w:val="00D55AD5"/>
    <w:rsid w:val="00D56529"/>
    <w:rsid w:val="00D576CA"/>
    <w:rsid w:val="00D579D0"/>
    <w:rsid w:val="00D60E13"/>
    <w:rsid w:val="00D61AF5"/>
    <w:rsid w:val="00D62CD5"/>
    <w:rsid w:val="00D6435F"/>
    <w:rsid w:val="00D652B5"/>
    <w:rsid w:val="00D66155"/>
    <w:rsid w:val="00D708B0"/>
    <w:rsid w:val="00D72528"/>
    <w:rsid w:val="00D75C8E"/>
    <w:rsid w:val="00D77B1D"/>
    <w:rsid w:val="00D8021F"/>
    <w:rsid w:val="00D80383"/>
    <w:rsid w:val="00D823C6"/>
    <w:rsid w:val="00D82CB4"/>
    <w:rsid w:val="00D84D28"/>
    <w:rsid w:val="00D86202"/>
    <w:rsid w:val="00D86CA3"/>
    <w:rsid w:val="00D871CE"/>
    <w:rsid w:val="00D9196D"/>
    <w:rsid w:val="00D92982"/>
    <w:rsid w:val="00D93E6C"/>
    <w:rsid w:val="00D94F8A"/>
    <w:rsid w:val="00D95657"/>
    <w:rsid w:val="00D95B81"/>
    <w:rsid w:val="00DA305E"/>
    <w:rsid w:val="00DA32BE"/>
    <w:rsid w:val="00DA5007"/>
    <w:rsid w:val="00DA5417"/>
    <w:rsid w:val="00DA56E8"/>
    <w:rsid w:val="00DB09F6"/>
    <w:rsid w:val="00DB0A9F"/>
    <w:rsid w:val="00DB2A5F"/>
    <w:rsid w:val="00DB377D"/>
    <w:rsid w:val="00DB7D09"/>
    <w:rsid w:val="00DC07C4"/>
    <w:rsid w:val="00DC2140"/>
    <w:rsid w:val="00DC2D36"/>
    <w:rsid w:val="00DC301C"/>
    <w:rsid w:val="00DC38F9"/>
    <w:rsid w:val="00DC4F42"/>
    <w:rsid w:val="00DC51EF"/>
    <w:rsid w:val="00DC53EF"/>
    <w:rsid w:val="00DC5E0E"/>
    <w:rsid w:val="00DC6963"/>
    <w:rsid w:val="00DD160E"/>
    <w:rsid w:val="00DD20AF"/>
    <w:rsid w:val="00DD39D5"/>
    <w:rsid w:val="00DD71A7"/>
    <w:rsid w:val="00DD739C"/>
    <w:rsid w:val="00DE18FE"/>
    <w:rsid w:val="00DE4478"/>
    <w:rsid w:val="00DE5608"/>
    <w:rsid w:val="00DE58D0"/>
    <w:rsid w:val="00DE5C7E"/>
    <w:rsid w:val="00DE654F"/>
    <w:rsid w:val="00DF0B6E"/>
    <w:rsid w:val="00DF15E0"/>
    <w:rsid w:val="00DF37A0"/>
    <w:rsid w:val="00DF7FBA"/>
    <w:rsid w:val="00E0243A"/>
    <w:rsid w:val="00E02EBB"/>
    <w:rsid w:val="00E032CA"/>
    <w:rsid w:val="00E04DD9"/>
    <w:rsid w:val="00E05487"/>
    <w:rsid w:val="00E110E7"/>
    <w:rsid w:val="00E11B20"/>
    <w:rsid w:val="00E17FA2"/>
    <w:rsid w:val="00E22330"/>
    <w:rsid w:val="00E26592"/>
    <w:rsid w:val="00E27F08"/>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37EAC"/>
    <w:rsid w:val="00E413E2"/>
    <w:rsid w:val="00E42931"/>
    <w:rsid w:val="00E42ADA"/>
    <w:rsid w:val="00E446F1"/>
    <w:rsid w:val="00E449FE"/>
    <w:rsid w:val="00E451D3"/>
    <w:rsid w:val="00E46886"/>
    <w:rsid w:val="00E4782A"/>
    <w:rsid w:val="00E47AEF"/>
    <w:rsid w:val="00E5127C"/>
    <w:rsid w:val="00E528F4"/>
    <w:rsid w:val="00E52A00"/>
    <w:rsid w:val="00E53B75"/>
    <w:rsid w:val="00E54E3B"/>
    <w:rsid w:val="00E57565"/>
    <w:rsid w:val="00E5780A"/>
    <w:rsid w:val="00E57866"/>
    <w:rsid w:val="00E63838"/>
    <w:rsid w:val="00E64434"/>
    <w:rsid w:val="00E64CF3"/>
    <w:rsid w:val="00E66999"/>
    <w:rsid w:val="00E67C51"/>
    <w:rsid w:val="00E72EFC"/>
    <w:rsid w:val="00E758EC"/>
    <w:rsid w:val="00E77EE6"/>
    <w:rsid w:val="00E81189"/>
    <w:rsid w:val="00E8234C"/>
    <w:rsid w:val="00E83AA9"/>
    <w:rsid w:val="00E85928"/>
    <w:rsid w:val="00E87822"/>
    <w:rsid w:val="00E90395"/>
    <w:rsid w:val="00E90E49"/>
    <w:rsid w:val="00E917F9"/>
    <w:rsid w:val="00E9291C"/>
    <w:rsid w:val="00E93FFE"/>
    <w:rsid w:val="00E94F8A"/>
    <w:rsid w:val="00EA33CE"/>
    <w:rsid w:val="00EA3601"/>
    <w:rsid w:val="00EA3F61"/>
    <w:rsid w:val="00EA4D55"/>
    <w:rsid w:val="00EA6D06"/>
    <w:rsid w:val="00EA78D3"/>
    <w:rsid w:val="00EA7A41"/>
    <w:rsid w:val="00EA7E15"/>
    <w:rsid w:val="00EB077B"/>
    <w:rsid w:val="00EB0831"/>
    <w:rsid w:val="00EB21D0"/>
    <w:rsid w:val="00EB22BA"/>
    <w:rsid w:val="00EB2EB5"/>
    <w:rsid w:val="00EB4EA2"/>
    <w:rsid w:val="00EB4FE9"/>
    <w:rsid w:val="00EB6D5D"/>
    <w:rsid w:val="00EB72D5"/>
    <w:rsid w:val="00EC27C6"/>
    <w:rsid w:val="00EC4207"/>
    <w:rsid w:val="00EC5479"/>
    <w:rsid w:val="00EC5653"/>
    <w:rsid w:val="00EC60B5"/>
    <w:rsid w:val="00EC67A4"/>
    <w:rsid w:val="00EC71CE"/>
    <w:rsid w:val="00ED1006"/>
    <w:rsid w:val="00ED2A7A"/>
    <w:rsid w:val="00ED3C75"/>
    <w:rsid w:val="00ED5EDB"/>
    <w:rsid w:val="00ED605D"/>
    <w:rsid w:val="00EE3501"/>
    <w:rsid w:val="00EE3AE4"/>
    <w:rsid w:val="00EE5985"/>
    <w:rsid w:val="00EE5C1E"/>
    <w:rsid w:val="00EF18FE"/>
    <w:rsid w:val="00EF4FF6"/>
    <w:rsid w:val="00EF5787"/>
    <w:rsid w:val="00EF60D0"/>
    <w:rsid w:val="00F007A2"/>
    <w:rsid w:val="00F03A16"/>
    <w:rsid w:val="00F0528D"/>
    <w:rsid w:val="00F06C67"/>
    <w:rsid w:val="00F06DFD"/>
    <w:rsid w:val="00F06E06"/>
    <w:rsid w:val="00F071D1"/>
    <w:rsid w:val="00F07533"/>
    <w:rsid w:val="00F10448"/>
    <w:rsid w:val="00F10629"/>
    <w:rsid w:val="00F11001"/>
    <w:rsid w:val="00F113A0"/>
    <w:rsid w:val="00F158C9"/>
    <w:rsid w:val="00F15FA5"/>
    <w:rsid w:val="00F16643"/>
    <w:rsid w:val="00F209B7"/>
    <w:rsid w:val="00F20B0E"/>
    <w:rsid w:val="00F2257B"/>
    <w:rsid w:val="00F231D2"/>
    <w:rsid w:val="00F2376F"/>
    <w:rsid w:val="00F243D8"/>
    <w:rsid w:val="00F30828"/>
    <w:rsid w:val="00F313D6"/>
    <w:rsid w:val="00F33EC5"/>
    <w:rsid w:val="00F34E5F"/>
    <w:rsid w:val="00F3723D"/>
    <w:rsid w:val="00F40F0C"/>
    <w:rsid w:val="00F43158"/>
    <w:rsid w:val="00F4766C"/>
    <w:rsid w:val="00F507D1"/>
    <w:rsid w:val="00F519CE"/>
    <w:rsid w:val="00F51ADA"/>
    <w:rsid w:val="00F536DD"/>
    <w:rsid w:val="00F607C5"/>
    <w:rsid w:val="00F60D7D"/>
    <w:rsid w:val="00F60DEA"/>
    <w:rsid w:val="00F6302A"/>
    <w:rsid w:val="00F64C2B"/>
    <w:rsid w:val="00F651BE"/>
    <w:rsid w:val="00F667CB"/>
    <w:rsid w:val="00F66964"/>
    <w:rsid w:val="00F67A15"/>
    <w:rsid w:val="00F67F53"/>
    <w:rsid w:val="00F703BE"/>
    <w:rsid w:val="00F71F69"/>
    <w:rsid w:val="00F72B72"/>
    <w:rsid w:val="00F74BB9"/>
    <w:rsid w:val="00F75582"/>
    <w:rsid w:val="00F759BD"/>
    <w:rsid w:val="00F75A7F"/>
    <w:rsid w:val="00F76EFA"/>
    <w:rsid w:val="00F7704B"/>
    <w:rsid w:val="00F804BE"/>
    <w:rsid w:val="00F81688"/>
    <w:rsid w:val="00F817CE"/>
    <w:rsid w:val="00F82F4E"/>
    <w:rsid w:val="00F83AAC"/>
    <w:rsid w:val="00F8456C"/>
    <w:rsid w:val="00F858AE"/>
    <w:rsid w:val="00F859D8"/>
    <w:rsid w:val="00F868F5"/>
    <w:rsid w:val="00F9056A"/>
    <w:rsid w:val="00F90F8D"/>
    <w:rsid w:val="00F92782"/>
    <w:rsid w:val="00F93AA9"/>
    <w:rsid w:val="00F94784"/>
    <w:rsid w:val="00F96790"/>
    <w:rsid w:val="00F96985"/>
    <w:rsid w:val="00F97838"/>
    <w:rsid w:val="00F97F0A"/>
    <w:rsid w:val="00FA2BB3"/>
    <w:rsid w:val="00FA5E06"/>
    <w:rsid w:val="00FB4C80"/>
    <w:rsid w:val="00FB6A6A"/>
    <w:rsid w:val="00FC2335"/>
    <w:rsid w:val="00FC4AD0"/>
    <w:rsid w:val="00FC61CA"/>
    <w:rsid w:val="00FC7429"/>
    <w:rsid w:val="00FD07F6"/>
    <w:rsid w:val="00FD1EC8"/>
    <w:rsid w:val="00FD3FB3"/>
    <w:rsid w:val="00FD47ED"/>
    <w:rsid w:val="00FD74DB"/>
    <w:rsid w:val="00FD7660"/>
    <w:rsid w:val="00FE0655"/>
    <w:rsid w:val="00FE2365"/>
    <w:rsid w:val="00FE2472"/>
    <w:rsid w:val="00FE4C7B"/>
    <w:rsid w:val="00FE7336"/>
    <w:rsid w:val="00FE787C"/>
    <w:rsid w:val="00FF1DA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DDFFACD"/>
  <w15:docId w15:val="{B271B4FF-B8F0-475A-92FD-0D921057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1F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jc w:val="left"/>
    </w:pPr>
    <w:rPr>
      <w:noProof/>
      <w:lang w:eastAsia="en-US"/>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jc w:val="left"/>
    </w:pPr>
    <w:rPr>
      <w:color w:val="FF0000"/>
      <w:lang w:eastAsia="en-US"/>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rsid w:val="00D31F48"/>
    <w:pPr>
      <w:spacing w:after="180"/>
      <w:jc w:val="left"/>
    </w:pPr>
    <w:rPr>
      <w:lang w:eastAsia="en-US"/>
    </w:rPr>
  </w:style>
  <w:style w:type="paragraph" w:customStyle="1" w:styleId="B2">
    <w:name w:val="B2"/>
    <w:basedOn w:val="List2"/>
    <w:rsid w:val="00D31F48"/>
    <w:pPr>
      <w:spacing w:after="180"/>
      <w:jc w:val="left"/>
    </w:pPr>
    <w:rPr>
      <w:lang w:eastAsia="en-US"/>
    </w:rPr>
  </w:style>
  <w:style w:type="paragraph" w:customStyle="1" w:styleId="B3">
    <w:name w:val="B3"/>
    <w:basedOn w:val="List3"/>
    <w:rsid w:val="00D31F48"/>
    <w:pPr>
      <w:spacing w:after="180"/>
      <w:jc w:val="left"/>
    </w:pPr>
    <w:rPr>
      <w:lang w:eastAsia="en-US"/>
    </w:rPr>
  </w:style>
  <w:style w:type="paragraph" w:customStyle="1" w:styleId="B4">
    <w:name w:val="B4"/>
    <w:basedOn w:val="List4"/>
    <w:rsid w:val="00D31F48"/>
    <w:pPr>
      <w:spacing w:after="180"/>
      <w:jc w:val="left"/>
    </w:pPr>
    <w:rPr>
      <w:lang w:eastAsia="en-US"/>
    </w:rPr>
  </w:style>
  <w:style w:type="paragraph" w:customStyle="1" w:styleId="Proposal">
    <w:name w:val="Proposal"/>
    <w:basedOn w:val="Normal"/>
    <w:rsid w:val="00D31F48"/>
    <w:pPr>
      <w:numPr>
        <w:numId w:val="3"/>
      </w:numPr>
      <w:tabs>
        <w:tab w:val="left" w:pos="1701"/>
      </w:tabs>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jc w:val="left"/>
    </w:pPr>
    <w:rPr>
      <w:lang w:eastAsia="en-US"/>
    </w:rPr>
  </w:style>
  <w:style w:type="paragraph" w:customStyle="1" w:styleId="EX">
    <w:name w:val="EX"/>
    <w:basedOn w:val="Normal"/>
    <w:rsid w:val="00D31F48"/>
    <w:pPr>
      <w:keepLines/>
      <w:spacing w:after="180"/>
      <w:ind w:left="1702" w:hanging="1418"/>
      <w:jc w:val="left"/>
    </w:pPr>
    <w:rPr>
      <w:lang w:eastAsia="en-US"/>
    </w:r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jc w:val="left"/>
    </w:pPr>
    <w:rPr>
      <w:sz w:val="18"/>
      <w:lang w:eastAsia="en-US"/>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lang w:eastAsia="en-US"/>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jc w:val="left"/>
    </w:pPr>
    <w:rPr>
      <w:lang w:eastAsia="en-US"/>
    </w:rPr>
  </w:style>
  <w:style w:type="paragraph" w:customStyle="1" w:styleId="Observation">
    <w:name w:val="Observation"/>
    <w:basedOn w:val="Proposal"/>
    <w:qFormat/>
    <w:rsid w:val="00D31F48"/>
    <w:pPr>
      <w:numPr>
        <w:numId w:val="13"/>
      </w:numPr>
      <w:ind w:left="1701" w:hanging="1701"/>
    </w:pPr>
  </w:style>
  <w:style w:type="paragraph" w:styleId="TableofFigures">
    <w:name w:val="table of figures"/>
    <w:basedOn w:val="Normal"/>
    <w:next w:val="Normal"/>
    <w:uiPriority w:val="99"/>
    <w:rsid w:val="00D31F4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paragraph" w:customStyle="1" w:styleId="Comments-red">
    <w:name w:val="Comments-red"/>
    <w:basedOn w:val="Normal"/>
    <w:qFormat/>
    <w:rsid w:val="00E04DD9"/>
    <w:pPr>
      <w:overflowPunct/>
      <w:autoSpaceDE/>
      <w:autoSpaceDN/>
      <w:adjustRightInd/>
      <w:spacing w:before="40" w:after="0"/>
      <w:jc w:val="left"/>
      <w:textAlignment w:val="auto"/>
    </w:pPr>
    <w:rPr>
      <w:rFonts w:eastAsia="MS Mincho"/>
      <w:i/>
      <w:color w:val="FF0000"/>
      <w:sz w:val="18"/>
      <w:szCs w:val="24"/>
      <w:lang w:eastAsia="en-GB"/>
    </w:rPr>
  </w:style>
  <w:style w:type="character" w:customStyle="1" w:styleId="IvDbodytextChar">
    <w:name w:val="IvD bodytext Char"/>
    <w:basedOn w:val="DefaultParagraphFont"/>
    <w:link w:val="IvDbodytext"/>
    <w:locked/>
    <w:rsid w:val="005F43FA"/>
    <w:rPr>
      <w:rFonts w:ascii="Arial" w:hAnsi="Arial" w:cs="Arial"/>
      <w:spacing w:val="2"/>
    </w:rPr>
  </w:style>
  <w:style w:type="paragraph" w:customStyle="1" w:styleId="IvDbodytext">
    <w:name w:val="IvD bodytext"/>
    <w:basedOn w:val="BodyText"/>
    <w:link w:val="IvDbodytextChar"/>
    <w:qFormat/>
    <w:rsid w:val="005F43F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1044">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283460694">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732076550">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91964469">
      <w:bodyDiv w:val="1"/>
      <w:marLeft w:val="0"/>
      <w:marRight w:val="0"/>
      <w:marTop w:val="0"/>
      <w:marBottom w:val="0"/>
      <w:divBdr>
        <w:top w:val="none" w:sz="0" w:space="0" w:color="auto"/>
        <w:left w:val="none" w:sz="0" w:space="0" w:color="auto"/>
        <w:bottom w:val="none" w:sz="0" w:space="0" w:color="auto"/>
        <w:right w:val="none" w:sz="0" w:space="0" w:color="auto"/>
      </w:divBdr>
    </w:div>
    <w:div w:id="211061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5NUHHDQN7SK2-1476151046-24802</_dlc_DocId>
    <TaxCatchAll xmlns="d8762117-8292-4133-b1c7-eab5c6487cfd">
      <Value>10</Value>
      <Value>9</Value>
      <Value>8</Value>
      <Value>3</Value>
      <Value>1</Value>
    </TaxCatchAll>
    <_dlc_DocIdUrl xmlns="f166a696-7b5b-4ccd-9f0c-ffde0cceec81">
      <Url>https://ericsson.sharepoint.com/sites/star/_layouts/15/DocIdRedir.aspx?ID=5NUHHDQN7SK2-1476151046-24802</Url>
      <Description>5NUHHDQN7SK2-1476151046-24802</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false</_dlc_DocIdPersistId>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SharedWithUsers xmlns="f166a696-7b5b-4ccd-9f0c-ffde0cceec81">
      <UserInfo>
        <DisplayName/>
        <AccountId xsi:nil="true"/>
        <AccountType/>
      </UserInfo>
    </SharedWithUsers>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38F4F-BEA0-4AAE-B8F9-6264D39B9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3.xml><?xml version="1.0" encoding="utf-8"?>
<ds:datastoreItem xmlns:ds="http://schemas.openxmlformats.org/officeDocument/2006/customXml" ds:itemID="{744177B5-F4F8-4C1B-84A2-BE4B4DA3C8C8}">
  <ds:schemaRefs>
    <ds:schemaRef ds:uri="http://schemas.microsoft.com/sharepoint/events"/>
  </ds:schemaRefs>
</ds:datastoreItem>
</file>

<file path=customXml/itemProps4.xml><?xml version="1.0" encoding="utf-8"?>
<ds:datastoreItem xmlns:ds="http://schemas.openxmlformats.org/officeDocument/2006/customXml" ds:itemID="{96CEE06E-466E-406D-A8DB-B7486FADF859}">
  <ds:schemaRefs>
    <ds:schemaRef ds:uri="http://schemas.microsoft.com/office/2006/documentManagement/types"/>
    <ds:schemaRef ds:uri="http://purl.org/dc/terms/"/>
    <ds:schemaRef ds:uri="http://purl.org/dc/dcmitype/"/>
    <ds:schemaRef ds:uri="611109f9-ed58-4498-a270-1fb2086a5321"/>
    <ds:schemaRef ds:uri="http://purl.org/dc/elements/1.1/"/>
    <ds:schemaRef ds:uri="http://www.w3.org/XML/1998/namespace"/>
    <ds:schemaRef ds:uri="http://schemas.openxmlformats.org/package/2006/metadata/core-properties"/>
    <ds:schemaRef ds:uri="http://schemas.microsoft.com/office/infopath/2007/PartnerControls"/>
    <ds:schemaRef ds:uri="http://schemas.microsoft.com/sharepoint/v4"/>
    <ds:schemaRef ds:uri="f166a696-7b5b-4ccd-9f0c-ffde0cceec81"/>
    <ds:schemaRef ds:uri="d8762117-8292-4133-b1c7-eab5c6487cfd"/>
    <ds:schemaRef ds:uri="http://schemas.microsoft.com/office/2006/metadata/properties"/>
  </ds:schemaRefs>
</ds:datastoreItem>
</file>

<file path=customXml/itemProps5.xml><?xml version="1.0" encoding="utf-8"?>
<ds:datastoreItem xmlns:ds="http://schemas.openxmlformats.org/officeDocument/2006/customXml" ds:itemID="{89DC3E93-59FC-4F6F-B149-683A966446A7}">
  <ds:schemaRefs>
    <ds:schemaRef ds:uri="Microsoft.SharePoint.Taxonomy.ContentTypeSync"/>
  </ds:schemaRefs>
</ds:datastoreItem>
</file>

<file path=customXml/itemProps6.xml><?xml version="1.0" encoding="utf-8"?>
<ds:datastoreItem xmlns:ds="http://schemas.openxmlformats.org/officeDocument/2006/customXml" ds:itemID="{FC43A6CB-36F5-4EAA-9C9D-DAEA81731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3</Pages>
  <Words>1156</Words>
  <Characters>6593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Ericsson (Icaro)</cp:lastModifiedBy>
  <cp:revision>2</cp:revision>
  <cp:lastPrinted>2016-08-03T08:58:00Z</cp:lastPrinted>
  <dcterms:created xsi:type="dcterms:W3CDTF">2018-06-21T18:56:00Z</dcterms:created>
  <dcterms:modified xsi:type="dcterms:W3CDTF">2018-06-21T18:56:00Z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3c3fa6e2-b837-4b0f-9a98-8dbee8e410e5</vt:lpwstr>
  </property>
  <property fmtid="{D5CDD505-2E9C-101B-9397-08002B2CF9AE}" pid="4" name="ContentTypeId">
    <vt:lpwstr>0x010100C5F30C9B16E14C8EACE5F2CC7B7AC7F400F5862E332FC6CE449700A00A9FC83FBA</vt:lpwstr>
  </property>
  <property fmtid="{D5CDD505-2E9C-101B-9397-08002B2CF9AE}" pid="5" name="EriCOLLCategory">
    <vt:lpwstr>4;#|7f1f7aab-c784-40ec-8666-825d2ac7abef</vt:lpwstr>
  </property>
  <property fmtid="{D5CDD505-2E9C-101B-9397-08002B2CF9AE}" pid="6" name="TaxKeyword">
    <vt:lpwstr>1;#|6a3890dd-b3c6-4ee1-9283-043167dd414d;#2;#|b7cb4b2e-7c24-4f9d-967d-e29f765ecb8a;#3;#|c60ff206-3dbb-4410-a86e-50fd188c386c</vt:lpwstr>
  </property>
  <property fmtid="{D5CDD505-2E9C-101B-9397-08002B2CF9AE}" pid="7" name="EriCOLLOrganizationUnit">
    <vt:lpwstr>30;#|644d70e3-351b-4c06-8b80-4aa32d170e18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Order">
    <vt:r8>1954700</vt:r8>
  </property>
  <property fmtid="{D5CDD505-2E9C-101B-9397-08002B2CF9AE}" pid="15" name="URL">
    <vt:lpwstr/>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Comments">
    <vt:lpwstr/>
  </property>
</Properties>
</file>